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0F7DA" w14:textId="6D0FEA59" w:rsidR="001F7655" w:rsidRPr="00824BC0" w:rsidRDefault="001F7655" w:rsidP="001F7655">
      <w:pPr>
        <w:spacing w:after="0" w:line="240" w:lineRule="auto"/>
        <w:jc w:val="center"/>
        <w:rPr>
          <w:rFonts w:ascii="Times New Roman" w:hAnsi="Times New Roman" w:cs="Times New Roman"/>
          <w:b/>
          <w:bCs/>
          <w:sz w:val="24"/>
          <w:szCs w:val="24"/>
          <w:lang w:val="en-US"/>
        </w:rPr>
      </w:pPr>
      <w:r w:rsidRPr="00824BC0">
        <w:rPr>
          <w:rFonts w:ascii="Times New Roman" w:hAnsi="Times New Roman" w:cs="Times New Roman"/>
          <w:b/>
          <w:bCs/>
          <w:sz w:val="24"/>
          <w:szCs w:val="24"/>
          <w:lang w:val="en-US"/>
        </w:rPr>
        <w:t>PART II – AUDIT OBSERVATIONS AND RECOMMENDATIONS</w:t>
      </w:r>
    </w:p>
    <w:p w14:paraId="3E5137B8" w14:textId="77777777" w:rsidR="001F7655" w:rsidRPr="00824BC0" w:rsidRDefault="001F7655" w:rsidP="001F7655">
      <w:pPr>
        <w:spacing w:after="0" w:line="240" w:lineRule="auto"/>
        <w:jc w:val="center"/>
        <w:rPr>
          <w:rFonts w:ascii="Times New Roman" w:hAnsi="Times New Roman" w:cs="Times New Roman"/>
          <w:sz w:val="24"/>
          <w:szCs w:val="24"/>
          <w:lang w:val="en-US"/>
        </w:rPr>
      </w:pPr>
    </w:p>
    <w:p w14:paraId="4CD3594C" w14:textId="2E6BA120" w:rsidR="001F7655" w:rsidRPr="00824BC0" w:rsidRDefault="001F7655" w:rsidP="001F7655">
      <w:pPr>
        <w:spacing w:after="0" w:line="240" w:lineRule="auto"/>
        <w:jc w:val="both"/>
        <w:rPr>
          <w:rFonts w:ascii="Times New Roman" w:hAnsi="Times New Roman" w:cs="Times New Roman"/>
          <w:sz w:val="24"/>
          <w:szCs w:val="24"/>
          <w:lang w:val="en-US"/>
        </w:rPr>
      </w:pPr>
      <w:r w:rsidRPr="00824BC0">
        <w:rPr>
          <w:rFonts w:ascii="Times New Roman" w:hAnsi="Times New Roman" w:cs="Times New Roman"/>
          <w:sz w:val="24"/>
          <w:szCs w:val="24"/>
          <w:lang w:val="en-US"/>
        </w:rPr>
        <w:tab/>
        <w:t xml:space="preserve">The audit of financial transactions and operations of the Bulacan Agricultural State College (BASC) for </w:t>
      </w:r>
      <w:r w:rsidR="002747FB" w:rsidRPr="00824BC0">
        <w:rPr>
          <w:rFonts w:ascii="Times New Roman" w:hAnsi="Times New Roman" w:cs="Times New Roman"/>
          <w:sz w:val="24"/>
          <w:szCs w:val="24"/>
          <w:lang w:val="en-US"/>
        </w:rPr>
        <w:t>c</w:t>
      </w:r>
      <w:r w:rsidRPr="00824BC0">
        <w:rPr>
          <w:rFonts w:ascii="Times New Roman" w:hAnsi="Times New Roman" w:cs="Times New Roman"/>
          <w:sz w:val="24"/>
          <w:szCs w:val="24"/>
          <w:lang w:val="en-US"/>
        </w:rPr>
        <w:t xml:space="preserve">alendar </w:t>
      </w:r>
      <w:r w:rsidR="002747FB" w:rsidRPr="00824BC0">
        <w:rPr>
          <w:rFonts w:ascii="Times New Roman" w:hAnsi="Times New Roman" w:cs="Times New Roman"/>
          <w:sz w:val="24"/>
          <w:szCs w:val="24"/>
          <w:lang w:val="en-US"/>
        </w:rPr>
        <w:t>y</w:t>
      </w:r>
      <w:r w:rsidRPr="00824BC0">
        <w:rPr>
          <w:rFonts w:ascii="Times New Roman" w:hAnsi="Times New Roman" w:cs="Times New Roman"/>
          <w:sz w:val="24"/>
          <w:szCs w:val="24"/>
          <w:lang w:val="en-US"/>
        </w:rPr>
        <w:t xml:space="preserve">ear </w:t>
      </w:r>
      <w:r w:rsidR="002747FB" w:rsidRPr="00824BC0">
        <w:rPr>
          <w:rFonts w:ascii="Times New Roman" w:hAnsi="Times New Roman" w:cs="Times New Roman"/>
          <w:sz w:val="24"/>
          <w:szCs w:val="24"/>
          <w:lang w:val="en-US"/>
        </w:rPr>
        <w:t xml:space="preserve">(CY) </w:t>
      </w:r>
      <w:r w:rsidRPr="00824BC0">
        <w:rPr>
          <w:rFonts w:ascii="Times New Roman" w:hAnsi="Times New Roman" w:cs="Times New Roman"/>
          <w:sz w:val="24"/>
          <w:szCs w:val="24"/>
          <w:lang w:val="en-US"/>
        </w:rPr>
        <w:t>2021 disclosed some observations that needed improvements and/or corrections.  Our observations with the corresponding recommendations are discussed in detail in the succeeding paragraphs.</w:t>
      </w:r>
    </w:p>
    <w:p w14:paraId="221C58C7" w14:textId="3C1E01F5" w:rsidR="001F7655" w:rsidRPr="00824BC0" w:rsidRDefault="001F7655" w:rsidP="001F7655">
      <w:pPr>
        <w:spacing w:after="0" w:line="240" w:lineRule="auto"/>
        <w:rPr>
          <w:rFonts w:ascii="Times New Roman" w:hAnsi="Times New Roman" w:cs="Times New Roman"/>
          <w:sz w:val="24"/>
          <w:szCs w:val="24"/>
        </w:rPr>
      </w:pPr>
    </w:p>
    <w:p w14:paraId="663DE29A" w14:textId="77777777" w:rsidR="00F34699" w:rsidRPr="00824BC0" w:rsidRDefault="00F34699" w:rsidP="001F7655">
      <w:pPr>
        <w:spacing w:after="0" w:line="240" w:lineRule="auto"/>
        <w:rPr>
          <w:rFonts w:ascii="Times New Roman" w:hAnsi="Times New Roman" w:cs="Times New Roman"/>
          <w:sz w:val="24"/>
          <w:szCs w:val="24"/>
        </w:rPr>
      </w:pPr>
    </w:p>
    <w:p w14:paraId="39215A35" w14:textId="1695354A" w:rsidR="001F7655" w:rsidRPr="00824BC0" w:rsidRDefault="001F7655" w:rsidP="001F7655">
      <w:pPr>
        <w:spacing w:after="0" w:line="240" w:lineRule="auto"/>
        <w:jc w:val="both"/>
        <w:rPr>
          <w:rFonts w:ascii="Times New Roman" w:hAnsi="Times New Roman" w:cs="Times New Roman"/>
          <w:b/>
          <w:bCs/>
          <w:sz w:val="24"/>
          <w:szCs w:val="24"/>
          <w:lang w:val="en-US"/>
        </w:rPr>
      </w:pPr>
      <w:r w:rsidRPr="00824BC0">
        <w:rPr>
          <w:rFonts w:ascii="Times New Roman" w:hAnsi="Times New Roman" w:cs="Times New Roman"/>
          <w:b/>
          <w:bCs/>
          <w:sz w:val="24"/>
          <w:szCs w:val="24"/>
          <w:lang w:val="en-US"/>
        </w:rPr>
        <w:t>Financial Audit</w:t>
      </w:r>
    </w:p>
    <w:p w14:paraId="752A0270" w14:textId="1093DD65" w:rsidR="001F7655" w:rsidRPr="00824BC0" w:rsidRDefault="001F7655" w:rsidP="001F7655">
      <w:pPr>
        <w:spacing w:after="0" w:line="240" w:lineRule="auto"/>
        <w:jc w:val="both"/>
        <w:rPr>
          <w:rFonts w:ascii="Times New Roman" w:hAnsi="Times New Roman" w:cs="Times New Roman"/>
          <w:b/>
          <w:bCs/>
          <w:sz w:val="24"/>
          <w:szCs w:val="24"/>
          <w:lang w:val="en-US"/>
        </w:rPr>
      </w:pPr>
    </w:p>
    <w:p w14:paraId="13A11402" w14:textId="4FB3B470" w:rsidR="00A8332E" w:rsidRPr="00824BC0" w:rsidRDefault="00A8332E" w:rsidP="001F7655">
      <w:pPr>
        <w:spacing w:after="0" w:line="240" w:lineRule="auto"/>
        <w:jc w:val="both"/>
        <w:rPr>
          <w:rFonts w:ascii="Times New Roman" w:hAnsi="Times New Roman" w:cs="Times New Roman"/>
          <w:i/>
          <w:iCs/>
          <w:sz w:val="24"/>
          <w:szCs w:val="24"/>
          <w:lang w:val="en-US"/>
        </w:rPr>
      </w:pPr>
      <w:r w:rsidRPr="00824BC0">
        <w:rPr>
          <w:rFonts w:ascii="Times New Roman" w:hAnsi="Times New Roman" w:cs="Times New Roman"/>
          <w:i/>
          <w:iCs/>
          <w:sz w:val="24"/>
          <w:szCs w:val="24"/>
          <w:lang w:val="en-US"/>
        </w:rPr>
        <w:t xml:space="preserve">Unreliable PPE balances - </w:t>
      </w:r>
      <w:r w:rsidRPr="00824BC0">
        <w:rPr>
          <w:rFonts w:ascii="Times New Roman" w:hAnsi="Times New Roman" w:cs="Times New Roman"/>
          <w:i/>
          <w:iCs/>
          <w:sz w:val="24"/>
          <w:szCs w:val="24"/>
        </w:rPr>
        <w:t>₱589</w:t>
      </w:r>
      <w:r w:rsidR="00F34699" w:rsidRPr="00824BC0">
        <w:rPr>
          <w:rFonts w:ascii="Times New Roman" w:hAnsi="Times New Roman" w:cs="Times New Roman"/>
          <w:i/>
          <w:iCs/>
          <w:sz w:val="24"/>
          <w:szCs w:val="24"/>
        </w:rPr>
        <w:t>.112</w:t>
      </w:r>
      <w:r w:rsidRPr="00824BC0">
        <w:rPr>
          <w:rFonts w:ascii="Times New Roman" w:hAnsi="Times New Roman" w:cs="Times New Roman"/>
          <w:i/>
          <w:iCs/>
          <w:sz w:val="24"/>
          <w:szCs w:val="24"/>
        </w:rPr>
        <w:t xml:space="preserve"> million</w:t>
      </w:r>
    </w:p>
    <w:p w14:paraId="1C7222EE" w14:textId="77777777" w:rsidR="00A8332E" w:rsidRPr="00824BC0" w:rsidRDefault="00A8332E" w:rsidP="001F7655">
      <w:pPr>
        <w:spacing w:after="0" w:line="240" w:lineRule="auto"/>
        <w:jc w:val="both"/>
        <w:rPr>
          <w:rFonts w:ascii="Times New Roman" w:hAnsi="Times New Roman" w:cs="Times New Roman"/>
          <w:b/>
          <w:bCs/>
          <w:sz w:val="24"/>
          <w:szCs w:val="24"/>
          <w:lang w:val="en-US"/>
        </w:rPr>
      </w:pPr>
    </w:p>
    <w:p w14:paraId="64F1E91E" w14:textId="3DBDFBA4" w:rsidR="00A8332E" w:rsidRPr="00824BC0" w:rsidRDefault="00A8332E" w:rsidP="00A8332E">
      <w:pPr>
        <w:pStyle w:val="ListParagraph"/>
        <w:numPr>
          <w:ilvl w:val="0"/>
          <w:numId w:val="5"/>
        </w:numPr>
        <w:ind w:left="0" w:firstLine="0"/>
        <w:jc w:val="both"/>
        <w:rPr>
          <w:b/>
          <w:bCs/>
          <w:i/>
          <w:iCs/>
          <w:szCs w:val="24"/>
        </w:rPr>
      </w:pPr>
      <w:r w:rsidRPr="00824BC0">
        <w:rPr>
          <w:b/>
          <w:bCs/>
          <w:i/>
          <w:iCs/>
          <w:szCs w:val="24"/>
        </w:rPr>
        <w:t>The accuracy, completeness and</w:t>
      </w:r>
      <w:r w:rsidR="00876496" w:rsidRPr="00824BC0">
        <w:rPr>
          <w:b/>
          <w:bCs/>
          <w:i/>
          <w:iCs/>
          <w:szCs w:val="24"/>
        </w:rPr>
        <w:t xml:space="preserve">  </w:t>
      </w:r>
      <w:r w:rsidRPr="00824BC0">
        <w:rPr>
          <w:b/>
          <w:bCs/>
          <w:i/>
          <w:iCs/>
          <w:szCs w:val="24"/>
        </w:rPr>
        <w:t xml:space="preserve"> existence of the balances of the Property, Plant and Equipment (PPE) </w:t>
      </w:r>
      <w:r w:rsidR="00876496" w:rsidRPr="00824BC0">
        <w:rPr>
          <w:b/>
          <w:bCs/>
          <w:i/>
          <w:iCs/>
          <w:szCs w:val="24"/>
        </w:rPr>
        <w:t xml:space="preserve">accounts with a carrying amount of </w:t>
      </w:r>
      <w:r w:rsidRPr="00824BC0">
        <w:rPr>
          <w:b/>
          <w:bCs/>
          <w:i/>
          <w:iCs/>
          <w:szCs w:val="24"/>
        </w:rPr>
        <w:t>₱589,112,11</w:t>
      </w:r>
      <w:r w:rsidR="00876496" w:rsidRPr="00824BC0">
        <w:rPr>
          <w:b/>
          <w:bCs/>
          <w:i/>
          <w:iCs/>
          <w:szCs w:val="24"/>
        </w:rPr>
        <w:t>5</w:t>
      </w:r>
      <w:r w:rsidRPr="00824BC0">
        <w:rPr>
          <w:b/>
          <w:bCs/>
          <w:i/>
          <w:iCs/>
          <w:szCs w:val="24"/>
        </w:rPr>
        <w:t xml:space="preserve">.66 as of December 31, 2021 were not established due to (a) unreconciled difference between Accounting and </w:t>
      </w:r>
      <w:r w:rsidR="002747FB" w:rsidRPr="00824BC0">
        <w:rPr>
          <w:b/>
          <w:bCs/>
          <w:i/>
          <w:iCs/>
          <w:szCs w:val="24"/>
        </w:rPr>
        <w:t>P</w:t>
      </w:r>
      <w:r w:rsidRPr="00824BC0">
        <w:rPr>
          <w:b/>
          <w:bCs/>
          <w:i/>
          <w:iCs/>
          <w:szCs w:val="24"/>
        </w:rPr>
        <w:t xml:space="preserve">roperty records amounting to ₱904,976.22; (b) </w:t>
      </w:r>
      <w:r w:rsidR="00BA575D">
        <w:rPr>
          <w:b/>
          <w:bCs/>
          <w:i/>
          <w:iCs/>
          <w:szCs w:val="24"/>
        </w:rPr>
        <w:t xml:space="preserve">inclusion of </w:t>
      </w:r>
      <w:r w:rsidRPr="00824BC0">
        <w:rPr>
          <w:b/>
          <w:bCs/>
          <w:i/>
          <w:iCs/>
          <w:szCs w:val="24"/>
        </w:rPr>
        <w:t xml:space="preserve">semi-expendable items </w:t>
      </w:r>
      <w:r w:rsidR="00133E63" w:rsidRPr="00824BC0">
        <w:rPr>
          <w:b/>
          <w:bCs/>
          <w:i/>
          <w:iCs/>
          <w:szCs w:val="24"/>
        </w:rPr>
        <w:t>totaling</w:t>
      </w:r>
      <w:r w:rsidRPr="00824BC0">
        <w:rPr>
          <w:b/>
          <w:bCs/>
          <w:i/>
          <w:iCs/>
          <w:szCs w:val="24"/>
        </w:rPr>
        <w:t xml:space="preserve"> ₱2,158,600.00</w:t>
      </w:r>
      <w:r w:rsidR="0048616D">
        <w:rPr>
          <w:b/>
          <w:bCs/>
          <w:i/>
          <w:iCs/>
          <w:szCs w:val="24"/>
        </w:rPr>
        <w:t xml:space="preserve"> in the Building account</w:t>
      </w:r>
      <w:r w:rsidRPr="00824BC0">
        <w:rPr>
          <w:b/>
          <w:bCs/>
          <w:i/>
          <w:iCs/>
          <w:szCs w:val="24"/>
        </w:rPr>
        <w:t xml:space="preserve">; and (c) inclusion of unserviceable items with a total carrying value of ₱196,209.26, contrary to the provisions of the Government Accounting Manual (GAM) for National Government Agencies (NGAs), Volume I and Section 79 of Presidential Decree (P.D.) No. 1445. </w:t>
      </w:r>
    </w:p>
    <w:p w14:paraId="2F891F9B" w14:textId="77777777" w:rsidR="00A8332E" w:rsidRPr="00824BC0" w:rsidRDefault="00A8332E" w:rsidP="00A8332E">
      <w:pPr>
        <w:spacing w:after="0" w:line="240" w:lineRule="auto"/>
        <w:jc w:val="both"/>
        <w:rPr>
          <w:rFonts w:ascii="Times New Roman" w:hAnsi="Times New Roman" w:cs="Times New Roman"/>
          <w:b/>
          <w:bCs/>
          <w:i/>
          <w:iCs/>
          <w:sz w:val="24"/>
          <w:szCs w:val="24"/>
        </w:rPr>
      </w:pPr>
    </w:p>
    <w:p w14:paraId="3A8E52E1" w14:textId="7D5D792C" w:rsidR="00A8332E" w:rsidRPr="00824BC0" w:rsidRDefault="00A8332E" w:rsidP="00A8332E">
      <w:pPr>
        <w:pStyle w:val="ListParagraph"/>
        <w:numPr>
          <w:ilvl w:val="0"/>
          <w:numId w:val="3"/>
        </w:numPr>
        <w:ind w:left="810" w:firstLine="0"/>
        <w:jc w:val="both"/>
        <w:rPr>
          <w:bCs/>
          <w:i/>
          <w:iCs/>
          <w:szCs w:val="24"/>
        </w:rPr>
      </w:pPr>
      <w:r w:rsidRPr="00824BC0">
        <w:rPr>
          <w:bCs/>
          <w:i/>
          <w:iCs/>
          <w:szCs w:val="24"/>
        </w:rPr>
        <w:t xml:space="preserve">Unreconciled balances between Accounting and </w:t>
      </w:r>
      <w:r w:rsidR="002747FB" w:rsidRPr="00824BC0">
        <w:rPr>
          <w:bCs/>
          <w:i/>
          <w:iCs/>
          <w:szCs w:val="24"/>
        </w:rPr>
        <w:t>P</w:t>
      </w:r>
      <w:r w:rsidRPr="00824BC0">
        <w:rPr>
          <w:bCs/>
          <w:i/>
          <w:iCs/>
          <w:szCs w:val="24"/>
        </w:rPr>
        <w:t xml:space="preserve">roperty records – </w:t>
      </w:r>
      <w:r w:rsidRPr="00824BC0">
        <w:rPr>
          <w:i/>
          <w:szCs w:val="24"/>
        </w:rPr>
        <w:t>₱</w:t>
      </w:r>
      <w:r w:rsidRPr="00824BC0">
        <w:rPr>
          <w:bCs/>
          <w:i/>
          <w:iCs/>
          <w:szCs w:val="24"/>
        </w:rPr>
        <w:t>904,976.22</w:t>
      </w:r>
    </w:p>
    <w:p w14:paraId="010E45DA" w14:textId="77777777" w:rsidR="00A8332E" w:rsidRPr="00824BC0" w:rsidRDefault="00A8332E" w:rsidP="00A8332E">
      <w:pPr>
        <w:pStyle w:val="ListParagraph"/>
        <w:ind w:left="810"/>
        <w:jc w:val="both"/>
        <w:rPr>
          <w:bCs/>
          <w:i/>
          <w:iCs/>
          <w:szCs w:val="24"/>
        </w:rPr>
      </w:pPr>
    </w:p>
    <w:p w14:paraId="57AF3BE3" w14:textId="57D373E0" w:rsidR="00A8332E" w:rsidRPr="00824BC0" w:rsidRDefault="00876496" w:rsidP="00A8332E">
      <w:pPr>
        <w:pStyle w:val="ListParagraph"/>
        <w:numPr>
          <w:ilvl w:val="1"/>
          <w:numId w:val="5"/>
        </w:numPr>
        <w:ind w:left="0" w:firstLine="0"/>
        <w:jc w:val="both"/>
        <w:rPr>
          <w:szCs w:val="24"/>
        </w:rPr>
      </w:pPr>
      <w:r w:rsidRPr="00824BC0">
        <w:rPr>
          <w:szCs w:val="24"/>
        </w:rPr>
        <w:t xml:space="preserve">To </w:t>
      </w:r>
      <w:r w:rsidR="00A8332E" w:rsidRPr="00824BC0">
        <w:rPr>
          <w:szCs w:val="24"/>
        </w:rPr>
        <w:t>establish the accuracy of the balances of Property, Plant and Equipment (PPE) accounts, the Audit Team compared the General Inventory Report</w:t>
      </w:r>
      <w:r w:rsidRPr="00824BC0">
        <w:rPr>
          <w:szCs w:val="24"/>
        </w:rPr>
        <w:t xml:space="preserve"> (GIR)</w:t>
      </w:r>
      <w:r w:rsidR="00A8332E" w:rsidRPr="00824BC0">
        <w:rPr>
          <w:szCs w:val="24"/>
        </w:rPr>
        <w:t xml:space="preserve"> of PPE prepared by the Property Officer with the accounting records. Exclusive of the Construction in Progress (CIP) accounts, a huge difference </w:t>
      </w:r>
      <w:r w:rsidRPr="00824BC0">
        <w:rPr>
          <w:szCs w:val="24"/>
        </w:rPr>
        <w:t xml:space="preserve">amounting </w:t>
      </w:r>
      <w:r w:rsidR="00A8332E" w:rsidRPr="00824BC0">
        <w:rPr>
          <w:szCs w:val="24"/>
        </w:rPr>
        <w:t>to ₱904,976.22 was established, as summarized below:</w:t>
      </w:r>
    </w:p>
    <w:p w14:paraId="0F5EC3CA" w14:textId="77777777" w:rsidR="00A8332E" w:rsidRPr="00824BC0" w:rsidRDefault="00A8332E" w:rsidP="00A8332E">
      <w:pPr>
        <w:spacing w:after="0" w:line="240" w:lineRule="auto"/>
        <w:jc w:val="both"/>
        <w:rPr>
          <w:rFonts w:ascii="Times New Roman" w:hAnsi="Times New Roman" w:cs="Times New Roman"/>
          <w:sz w:val="24"/>
          <w:szCs w:val="24"/>
        </w:rPr>
      </w:pPr>
    </w:p>
    <w:tbl>
      <w:tblPr>
        <w:tblStyle w:val="TableGrid"/>
        <w:tblW w:w="8635" w:type="dxa"/>
        <w:tblLook w:val="04A0" w:firstRow="1" w:lastRow="0" w:firstColumn="1" w:lastColumn="0" w:noHBand="0" w:noVBand="1"/>
      </w:tblPr>
      <w:tblGrid>
        <w:gridCol w:w="2875"/>
        <w:gridCol w:w="2160"/>
        <w:gridCol w:w="1980"/>
        <w:gridCol w:w="1620"/>
      </w:tblGrid>
      <w:tr w:rsidR="00A8332E" w:rsidRPr="00824BC0" w14:paraId="0532D0F0" w14:textId="77777777" w:rsidTr="00FB4E63">
        <w:trPr>
          <w:tblHeader/>
        </w:trPr>
        <w:tc>
          <w:tcPr>
            <w:tcW w:w="2875" w:type="dxa"/>
            <w:shd w:val="clear" w:color="auto" w:fill="BFBFBF" w:themeFill="background1" w:themeFillShade="BF"/>
            <w:vAlign w:val="center"/>
          </w:tcPr>
          <w:p w14:paraId="4189D631" w14:textId="77777777" w:rsidR="00A8332E" w:rsidRPr="00824BC0" w:rsidRDefault="00A8332E" w:rsidP="00A8332E">
            <w:pPr>
              <w:jc w:val="center"/>
              <w:rPr>
                <w:rFonts w:ascii="Times New Roman" w:hAnsi="Times New Roman" w:cs="Times New Roman"/>
                <w:b/>
                <w:bCs/>
                <w:sz w:val="24"/>
                <w:szCs w:val="24"/>
              </w:rPr>
            </w:pPr>
            <w:r w:rsidRPr="00824BC0">
              <w:rPr>
                <w:rFonts w:ascii="Times New Roman" w:hAnsi="Times New Roman" w:cs="Times New Roman"/>
                <w:b/>
                <w:bCs/>
                <w:sz w:val="24"/>
                <w:szCs w:val="24"/>
              </w:rPr>
              <w:t>PPE Account</w:t>
            </w:r>
          </w:p>
        </w:tc>
        <w:tc>
          <w:tcPr>
            <w:tcW w:w="2160" w:type="dxa"/>
            <w:shd w:val="clear" w:color="auto" w:fill="BFBFBF" w:themeFill="background1" w:themeFillShade="BF"/>
            <w:vAlign w:val="center"/>
          </w:tcPr>
          <w:p w14:paraId="5FEAE1AA" w14:textId="77777777" w:rsidR="00A8332E" w:rsidRPr="00824BC0" w:rsidRDefault="00A8332E" w:rsidP="00A8332E">
            <w:pPr>
              <w:jc w:val="center"/>
              <w:rPr>
                <w:rFonts w:ascii="Times New Roman" w:hAnsi="Times New Roman" w:cs="Times New Roman"/>
                <w:b/>
                <w:bCs/>
                <w:sz w:val="24"/>
                <w:szCs w:val="24"/>
              </w:rPr>
            </w:pPr>
            <w:r w:rsidRPr="00824BC0">
              <w:rPr>
                <w:rFonts w:ascii="Times New Roman" w:hAnsi="Times New Roman" w:cs="Times New Roman"/>
                <w:b/>
                <w:bCs/>
                <w:sz w:val="24"/>
                <w:szCs w:val="24"/>
              </w:rPr>
              <w:t>Per accounting records</w:t>
            </w:r>
          </w:p>
        </w:tc>
        <w:tc>
          <w:tcPr>
            <w:tcW w:w="1980" w:type="dxa"/>
            <w:shd w:val="clear" w:color="auto" w:fill="BFBFBF" w:themeFill="background1" w:themeFillShade="BF"/>
            <w:vAlign w:val="center"/>
          </w:tcPr>
          <w:p w14:paraId="50E02068" w14:textId="77777777" w:rsidR="00A8332E" w:rsidRPr="00824BC0" w:rsidRDefault="00A8332E" w:rsidP="00A8332E">
            <w:pPr>
              <w:jc w:val="center"/>
              <w:rPr>
                <w:rFonts w:ascii="Times New Roman" w:hAnsi="Times New Roman" w:cs="Times New Roman"/>
                <w:b/>
                <w:bCs/>
                <w:sz w:val="24"/>
                <w:szCs w:val="24"/>
              </w:rPr>
            </w:pPr>
            <w:r w:rsidRPr="00824BC0">
              <w:rPr>
                <w:rFonts w:ascii="Times New Roman" w:hAnsi="Times New Roman" w:cs="Times New Roman"/>
                <w:b/>
                <w:bCs/>
                <w:sz w:val="24"/>
                <w:szCs w:val="24"/>
              </w:rPr>
              <w:t>Per property records</w:t>
            </w:r>
          </w:p>
        </w:tc>
        <w:tc>
          <w:tcPr>
            <w:tcW w:w="1620" w:type="dxa"/>
            <w:shd w:val="clear" w:color="auto" w:fill="BFBFBF" w:themeFill="background1" w:themeFillShade="BF"/>
            <w:vAlign w:val="center"/>
          </w:tcPr>
          <w:p w14:paraId="414813F7" w14:textId="77777777" w:rsidR="00A8332E" w:rsidRPr="00824BC0" w:rsidRDefault="00A8332E" w:rsidP="00A8332E">
            <w:pPr>
              <w:jc w:val="center"/>
              <w:rPr>
                <w:rFonts w:ascii="Times New Roman" w:hAnsi="Times New Roman" w:cs="Times New Roman"/>
                <w:b/>
                <w:bCs/>
                <w:sz w:val="24"/>
                <w:szCs w:val="24"/>
              </w:rPr>
            </w:pPr>
            <w:r w:rsidRPr="00824BC0">
              <w:rPr>
                <w:rFonts w:ascii="Times New Roman" w:hAnsi="Times New Roman" w:cs="Times New Roman"/>
                <w:b/>
                <w:bCs/>
                <w:sz w:val="24"/>
                <w:szCs w:val="24"/>
              </w:rPr>
              <w:t>Variance</w:t>
            </w:r>
          </w:p>
        </w:tc>
      </w:tr>
      <w:tr w:rsidR="00A8332E" w:rsidRPr="00824BC0" w14:paraId="4CDF279A" w14:textId="77777777" w:rsidTr="00FB4E63">
        <w:tc>
          <w:tcPr>
            <w:tcW w:w="2875" w:type="dxa"/>
          </w:tcPr>
          <w:p w14:paraId="09863160" w14:textId="77777777" w:rsidR="00A8332E" w:rsidRPr="00824BC0" w:rsidRDefault="00A8332E" w:rsidP="00A8332E">
            <w:pPr>
              <w:jc w:val="both"/>
              <w:rPr>
                <w:rFonts w:ascii="Times New Roman" w:hAnsi="Times New Roman" w:cs="Times New Roman"/>
                <w:sz w:val="24"/>
                <w:szCs w:val="24"/>
              </w:rPr>
            </w:pPr>
            <w:r w:rsidRPr="00824BC0">
              <w:rPr>
                <w:rFonts w:ascii="Times New Roman" w:hAnsi="Times New Roman" w:cs="Times New Roman"/>
                <w:sz w:val="24"/>
                <w:szCs w:val="24"/>
              </w:rPr>
              <w:t>Land</w:t>
            </w:r>
          </w:p>
        </w:tc>
        <w:tc>
          <w:tcPr>
            <w:tcW w:w="2160" w:type="dxa"/>
            <w:vAlign w:val="bottom"/>
          </w:tcPr>
          <w:p w14:paraId="7C20ED76"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 149,430,284.00</w:t>
            </w:r>
          </w:p>
        </w:tc>
        <w:tc>
          <w:tcPr>
            <w:tcW w:w="1980" w:type="dxa"/>
            <w:vAlign w:val="bottom"/>
          </w:tcPr>
          <w:p w14:paraId="1642D3E9"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 149,430,284.00</w:t>
            </w:r>
          </w:p>
        </w:tc>
        <w:tc>
          <w:tcPr>
            <w:tcW w:w="1620" w:type="dxa"/>
            <w:vAlign w:val="bottom"/>
          </w:tcPr>
          <w:p w14:paraId="1CC857DB"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              0.00</w:t>
            </w:r>
          </w:p>
        </w:tc>
      </w:tr>
      <w:tr w:rsidR="00A8332E" w:rsidRPr="00824BC0" w14:paraId="02E9AA5B" w14:textId="77777777" w:rsidTr="00FB4E63">
        <w:tc>
          <w:tcPr>
            <w:tcW w:w="2875" w:type="dxa"/>
          </w:tcPr>
          <w:p w14:paraId="27FF1DE2" w14:textId="77777777" w:rsidR="00A8332E" w:rsidRPr="00824BC0" w:rsidRDefault="00A8332E" w:rsidP="00A8332E">
            <w:pPr>
              <w:jc w:val="both"/>
              <w:rPr>
                <w:rFonts w:ascii="Times New Roman" w:hAnsi="Times New Roman" w:cs="Times New Roman"/>
                <w:sz w:val="24"/>
                <w:szCs w:val="24"/>
              </w:rPr>
            </w:pPr>
            <w:r w:rsidRPr="00824BC0">
              <w:rPr>
                <w:rFonts w:ascii="Times New Roman" w:hAnsi="Times New Roman" w:cs="Times New Roman"/>
                <w:sz w:val="24"/>
                <w:szCs w:val="24"/>
              </w:rPr>
              <w:t xml:space="preserve">Land Improvements </w:t>
            </w:r>
          </w:p>
        </w:tc>
        <w:tc>
          <w:tcPr>
            <w:tcW w:w="2160" w:type="dxa"/>
            <w:vAlign w:val="bottom"/>
          </w:tcPr>
          <w:p w14:paraId="012A1FE7"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21,980,413.31</w:t>
            </w:r>
          </w:p>
        </w:tc>
        <w:tc>
          <w:tcPr>
            <w:tcW w:w="1980" w:type="dxa"/>
            <w:vAlign w:val="bottom"/>
          </w:tcPr>
          <w:p w14:paraId="48168841"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21,980,413.31</w:t>
            </w:r>
          </w:p>
        </w:tc>
        <w:tc>
          <w:tcPr>
            <w:tcW w:w="1620" w:type="dxa"/>
            <w:vAlign w:val="bottom"/>
          </w:tcPr>
          <w:p w14:paraId="23760D51"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0.00</w:t>
            </w:r>
          </w:p>
        </w:tc>
      </w:tr>
      <w:tr w:rsidR="00A8332E" w:rsidRPr="00824BC0" w14:paraId="1EB91045" w14:textId="77777777" w:rsidTr="00FB4E63">
        <w:tc>
          <w:tcPr>
            <w:tcW w:w="2875" w:type="dxa"/>
          </w:tcPr>
          <w:p w14:paraId="593914F0" w14:textId="77777777" w:rsidR="00A8332E" w:rsidRPr="00824BC0" w:rsidRDefault="00A8332E" w:rsidP="00A8332E">
            <w:pPr>
              <w:jc w:val="both"/>
              <w:rPr>
                <w:rFonts w:ascii="Times New Roman" w:hAnsi="Times New Roman" w:cs="Times New Roman"/>
                <w:sz w:val="24"/>
                <w:szCs w:val="24"/>
              </w:rPr>
            </w:pPr>
            <w:r w:rsidRPr="00824BC0">
              <w:rPr>
                <w:rFonts w:ascii="Times New Roman" w:hAnsi="Times New Roman" w:cs="Times New Roman"/>
                <w:sz w:val="24"/>
                <w:szCs w:val="24"/>
              </w:rPr>
              <w:t xml:space="preserve">Infrastructure Assets </w:t>
            </w:r>
          </w:p>
        </w:tc>
        <w:tc>
          <w:tcPr>
            <w:tcW w:w="2160" w:type="dxa"/>
            <w:vAlign w:val="bottom"/>
          </w:tcPr>
          <w:p w14:paraId="7DE517A6"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2,584,518.00</w:t>
            </w:r>
          </w:p>
        </w:tc>
        <w:tc>
          <w:tcPr>
            <w:tcW w:w="1980" w:type="dxa"/>
            <w:vAlign w:val="bottom"/>
          </w:tcPr>
          <w:p w14:paraId="58C931B1"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2,572,018.00</w:t>
            </w:r>
          </w:p>
        </w:tc>
        <w:tc>
          <w:tcPr>
            <w:tcW w:w="1620" w:type="dxa"/>
            <w:vAlign w:val="bottom"/>
          </w:tcPr>
          <w:p w14:paraId="39842CD7"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12,500.00</w:t>
            </w:r>
          </w:p>
        </w:tc>
      </w:tr>
      <w:tr w:rsidR="00A8332E" w:rsidRPr="00824BC0" w14:paraId="65C9B024" w14:textId="77777777" w:rsidTr="00FB4E63">
        <w:tc>
          <w:tcPr>
            <w:tcW w:w="2875" w:type="dxa"/>
          </w:tcPr>
          <w:p w14:paraId="3CB1EA94" w14:textId="77777777" w:rsidR="00A8332E" w:rsidRPr="00824BC0" w:rsidRDefault="00A8332E" w:rsidP="00FB4E63">
            <w:pPr>
              <w:rPr>
                <w:rFonts w:ascii="Times New Roman" w:hAnsi="Times New Roman" w:cs="Times New Roman"/>
                <w:sz w:val="24"/>
                <w:szCs w:val="24"/>
              </w:rPr>
            </w:pPr>
            <w:r w:rsidRPr="00824BC0">
              <w:rPr>
                <w:rFonts w:ascii="Times New Roman" w:hAnsi="Times New Roman" w:cs="Times New Roman"/>
                <w:sz w:val="24"/>
                <w:szCs w:val="24"/>
              </w:rPr>
              <w:t>Buildings and Other Structures</w:t>
            </w:r>
          </w:p>
        </w:tc>
        <w:tc>
          <w:tcPr>
            <w:tcW w:w="2160" w:type="dxa"/>
            <w:vAlign w:val="bottom"/>
          </w:tcPr>
          <w:p w14:paraId="1080FC7F"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407,740,717.42</w:t>
            </w:r>
          </w:p>
        </w:tc>
        <w:tc>
          <w:tcPr>
            <w:tcW w:w="1980" w:type="dxa"/>
            <w:vAlign w:val="bottom"/>
          </w:tcPr>
          <w:p w14:paraId="3F63479D"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406,771,217.42</w:t>
            </w:r>
          </w:p>
        </w:tc>
        <w:tc>
          <w:tcPr>
            <w:tcW w:w="1620" w:type="dxa"/>
            <w:vAlign w:val="bottom"/>
          </w:tcPr>
          <w:p w14:paraId="5EBF23B5"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969,500.00</w:t>
            </w:r>
          </w:p>
        </w:tc>
      </w:tr>
      <w:tr w:rsidR="00A8332E" w:rsidRPr="00824BC0" w14:paraId="23AE805D" w14:textId="77777777" w:rsidTr="00FB4E63">
        <w:tc>
          <w:tcPr>
            <w:tcW w:w="2875" w:type="dxa"/>
          </w:tcPr>
          <w:p w14:paraId="057749AC" w14:textId="77777777" w:rsidR="00A8332E" w:rsidRPr="00824BC0" w:rsidRDefault="00A8332E" w:rsidP="00A8332E">
            <w:pPr>
              <w:jc w:val="both"/>
              <w:rPr>
                <w:rFonts w:ascii="Times New Roman" w:hAnsi="Times New Roman" w:cs="Times New Roman"/>
                <w:sz w:val="24"/>
                <w:szCs w:val="24"/>
              </w:rPr>
            </w:pPr>
            <w:r w:rsidRPr="00824BC0">
              <w:rPr>
                <w:rFonts w:ascii="Times New Roman" w:hAnsi="Times New Roman" w:cs="Times New Roman"/>
                <w:sz w:val="24"/>
                <w:szCs w:val="24"/>
              </w:rPr>
              <w:t xml:space="preserve">Machinery and Equipment </w:t>
            </w:r>
          </w:p>
        </w:tc>
        <w:tc>
          <w:tcPr>
            <w:tcW w:w="2160" w:type="dxa"/>
            <w:vAlign w:val="bottom"/>
          </w:tcPr>
          <w:p w14:paraId="4C51F0E0"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77,635,462.29</w:t>
            </w:r>
          </w:p>
        </w:tc>
        <w:tc>
          <w:tcPr>
            <w:tcW w:w="1980" w:type="dxa"/>
            <w:vAlign w:val="bottom"/>
          </w:tcPr>
          <w:p w14:paraId="7E928D59"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78,433,248.07</w:t>
            </w:r>
          </w:p>
        </w:tc>
        <w:tc>
          <w:tcPr>
            <w:tcW w:w="1620" w:type="dxa"/>
            <w:vAlign w:val="bottom"/>
          </w:tcPr>
          <w:p w14:paraId="57459694"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(797,785.78)</w:t>
            </w:r>
          </w:p>
        </w:tc>
      </w:tr>
      <w:tr w:rsidR="00A8332E" w:rsidRPr="00824BC0" w14:paraId="5CB597F0" w14:textId="77777777" w:rsidTr="00FB4E63">
        <w:tc>
          <w:tcPr>
            <w:tcW w:w="2875" w:type="dxa"/>
          </w:tcPr>
          <w:p w14:paraId="787F2608" w14:textId="77777777" w:rsidR="00A8332E" w:rsidRPr="00824BC0" w:rsidRDefault="00A8332E" w:rsidP="00A8332E">
            <w:pPr>
              <w:jc w:val="both"/>
              <w:rPr>
                <w:rFonts w:ascii="Times New Roman" w:hAnsi="Times New Roman" w:cs="Times New Roman"/>
                <w:sz w:val="24"/>
                <w:szCs w:val="24"/>
              </w:rPr>
            </w:pPr>
            <w:r w:rsidRPr="00824BC0">
              <w:rPr>
                <w:rFonts w:ascii="Times New Roman" w:hAnsi="Times New Roman" w:cs="Times New Roman"/>
                <w:sz w:val="24"/>
                <w:szCs w:val="24"/>
              </w:rPr>
              <w:t>Transportation Equipment</w:t>
            </w:r>
          </w:p>
        </w:tc>
        <w:tc>
          <w:tcPr>
            <w:tcW w:w="2160" w:type="dxa"/>
            <w:vAlign w:val="bottom"/>
          </w:tcPr>
          <w:p w14:paraId="40E2EE3A"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13,914,890.40</w:t>
            </w:r>
          </w:p>
        </w:tc>
        <w:tc>
          <w:tcPr>
            <w:tcW w:w="1980" w:type="dxa"/>
            <w:vAlign w:val="bottom"/>
          </w:tcPr>
          <w:p w14:paraId="5CDA0182"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13,914,890.40</w:t>
            </w:r>
          </w:p>
        </w:tc>
        <w:tc>
          <w:tcPr>
            <w:tcW w:w="1620" w:type="dxa"/>
            <w:vAlign w:val="bottom"/>
          </w:tcPr>
          <w:p w14:paraId="3278BB48"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0.00</w:t>
            </w:r>
          </w:p>
        </w:tc>
      </w:tr>
      <w:tr w:rsidR="00A8332E" w:rsidRPr="00824BC0" w14:paraId="5C178EFA" w14:textId="77777777" w:rsidTr="00FB4E63">
        <w:tc>
          <w:tcPr>
            <w:tcW w:w="2875" w:type="dxa"/>
          </w:tcPr>
          <w:p w14:paraId="3D92C9C6" w14:textId="77777777" w:rsidR="00A8332E" w:rsidRPr="00824BC0" w:rsidRDefault="00A8332E" w:rsidP="00FB4E63">
            <w:pPr>
              <w:rPr>
                <w:rFonts w:ascii="Times New Roman" w:hAnsi="Times New Roman" w:cs="Times New Roman"/>
                <w:sz w:val="24"/>
                <w:szCs w:val="24"/>
              </w:rPr>
            </w:pPr>
            <w:r w:rsidRPr="00824BC0">
              <w:rPr>
                <w:rFonts w:ascii="Times New Roman" w:hAnsi="Times New Roman" w:cs="Times New Roman"/>
                <w:sz w:val="24"/>
                <w:szCs w:val="24"/>
              </w:rPr>
              <w:t xml:space="preserve">Furniture, Fixtures and Books </w:t>
            </w:r>
          </w:p>
        </w:tc>
        <w:tc>
          <w:tcPr>
            <w:tcW w:w="2160" w:type="dxa"/>
            <w:vAlign w:val="bottom"/>
          </w:tcPr>
          <w:p w14:paraId="435386DF"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8,440,736.12</w:t>
            </w:r>
          </w:p>
        </w:tc>
        <w:tc>
          <w:tcPr>
            <w:tcW w:w="1980" w:type="dxa"/>
            <w:vAlign w:val="bottom"/>
          </w:tcPr>
          <w:p w14:paraId="7669FFF6"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8,405,824.12</w:t>
            </w:r>
          </w:p>
        </w:tc>
        <w:tc>
          <w:tcPr>
            <w:tcW w:w="1620" w:type="dxa"/>
            <w:vAlign w:val="bottom"/>
          </w:tcPr>
          <w:p w14:paraId="5B8D703C"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34,912.00</w:t>
            </w:r>
          </w:p>
        </w:tc>
      </w:tr>
      <w:tr w:rsidR="00A8332E" w:rsidRPr="00824BC0" w14:paraId="31AFD7BD" w14:textId="77777777" w:rsidTr="00FB4E63">
        <w:tc>
          <w:tcPr>
            <w:tcW w:w="2875" w:type="dxa"/>
          </w:tcPr>
          <w:p w14:paraId="0ED4FD37" w14:textId="77777777" w:rsidR="00A8332E" w:rsidRPr="00824BC0" w:rsidRDefault="00A8332E" w:rsidP="00A8332E">
            <w:pPr>
              <w:jc w:val="both"/>
              <w:rPr>
                <w:rFonts w:ascii="Times New Roman" w:hAnsi="Times New Roman" w:cs="Times New Roman"/>
                <w:sz w:val="24"/>
                <w:szCs w:val="24"/>
              </w:rPr>
            </w:pPr>
            <w:r w:rsidRPr="00824BC0">
              <w:rPr>
                <w:rFonts w:ascii="Times New Roman" w:hAnsi="Times New Roman" w:cs="Times New Roman"/>
                <w:sz w:val="24"/>
                <w:szCs w:val="24"/>
              </w:rPr>
              <w:t>Other PPE</w:t>
            </w:r>
          </w:p>
        </w:tc>
        <w:tc>
          <w:tcPr>
            <w:tcW w:w="2160" w:type="dxa"/>
            <w:vAlign w:val="bottom"/>
          </w:tcPr>
          <w:p w14:paraId="1C02EC24"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2,701,590.20</w:t>
            </w:r>
          </w:p>
        </w:tc>
        <w:tc>
          <w:tcPr>
            <w:tcW w:w="1980" w:type="dxa"/>
            <w:vAlign w:val="bottom"/>
          </w:tcPr>
          <w:p w14:paraId="3729EDA8"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2,015,740.20</w:t>
            </w:r>
          </w:p>
        </w:tc>
        <w:tc>
          <w:tcPr>
            <w:tcW w:w="1620" w:type="dxa"/>
            <w:vAlign w:val="bottom"/>
          </w:tcPr>
          <w:p w14:paraId="5E8F11EF"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685,850.00</w:t>
            </w:r>
          </w:p>
        </w:tc>
      </w:tr>
      <w:tr w:rsidR="00A8332E" w:rsidRPr="00824BC0" w14:paraId="0779B84C" w14:textId="77777777" w:rsidTr="00FB4E63">
        <w:tc>
          <w:tcPr>
            <w:tcW w:w="2875" w:type="dxa"/>
          </w:tcPr>
          <w:p w14:paraId="41F4464D" w14:textId="77777777" w:rsidR="00A8332E" w:rsidRPr="00824BC0" w:rsidRDefault="00A8332E" w:rsidP="00A8332E">
            <w:pPr>
              <w:jc w:val="both"/>
              <w:rPr>
                <w:rFonts w:ascii="Times New Roman" w:hAnsi="Times New Roman" w:cs="Times New Roman"/>
                <w:b/>
                <w:bCs/>
                <w:sz w:val="24"/>
                <w:szCs w:val="24"/>
              </w:rPr>
            </w:pPr>
            <w:r w:rsidRPr="00824BC0">
              <w:rPr>
                <w:rFonts w:ascii="Times New Roman" w:hAnsi="Times New Roman" w:cs="Times New Roman"/>
                <w:b/>
                <w:bCs/>
                <w:sz w:val="24"/>
                <w:szCs w:val="24"/>
              </w:rPr>
              <w:t xml:space="preserve">Total </w:t>
            </w:r>
          </w:p>
        </w:tc>
        <w:tc>
          <w:tcPr>
            <w:tcW w:w="2160" w:type="dxa"/>
            <w:vAlign w:val="bottom"/>
          </w:tcPr>
          <w:p w14:paraId="5339CD3D" w14:textId="77777777" w:rsidR="00A8332E" w:rsidRPr="00824BC0" w:rsidRDefault="00A8332E" w:rsidP="00A8332E">
            <w:pPr>
              <w:jc w:val="right"/>
              <w:rPr>
                <w:rFonts w:ascii="Times New Roman" w:hAnsi="Times New Roman" w:cs="Times New Roman"/>
                <w:b/>
                <w:bCs/>
                <w:sz w:val="24"/>
                <w:szCs w:val="24"/>
              </w:rPr>
            </w:pPr>
            <w:r w:rsidRPr="00824BC0">
              <w:rPr>
                <w:rFonts w:ascii="Times New Roman" w:hAnsi="Times New Roman" w:cs="Times New Roman"/>
                <w:b/>
                <w:bCs/>
                <w:sz w:val="24"/>
                <w:szCs w:val="24"/>
              </w:rPr>
              <w:t>684,428,611.74</w:t>
            </w:r>
          </w:p>
        </w:tc>
        <w:tc>
          <w:tcPr>
            <w:tcW w:w="1980" w:type="dxa"/>
            <w:vAlign w:val="bottom"/>
          </w:tcPr>
          <w:p w14:paraId="6B83921F" w14:textId="77777777" w:rsidR="00A8332E" w:rsidRPr="00824BC0" w:rsidRDefault="00A8332E" w:rsidP="00A8332E">
            <w:pPr>
              <w:jc w:val="right"/>
              <w:rPr>
                <w:rFonts w:ascii="Times New Roman" w:hAnsi="Times New Roman" w:cs="Times New Roman"/>
                <w:b/>
                <w:bCs/>
                <w:sz w:val="24"/>
                <w:szCs w:val="24"/>
              </w:rPr>
            </w:pPr>
            <w:r w:rsidRPr="00824BC0">
              <w:rPr>
                <w:rFonts w:ascii="Times New Roman" w:hAnsi="Times New Roman" w:cs="Times New Roman"/>
                <w:b/>
                <w:bCs/>
                <w:sz w:val="24"/>
                <w:szCs w:val="24"/>
              </w:rPr>
              <w:t>683,523,635.52</w:t>
            </w:r>
          </w:p>
        </w:tc>
        <w:tc>
          <w:tcPr>
            <w:tcW w:w="1620" w:type="dxa"/>
            <w:vAlign w:val="bottom"/>
          </w:tcPr>
          <w:p w14:paraId="31899DDB" w14:textId="77777777" w:rsidR="00A8332E" w:rsidRPr="00824BC0" w:rsidRDefault="00A8332E" w:rsidP="00A8332E">
            <w:pPr>
              <w:jc w:val="right"/>
              <w:rPr>
                <w:rFonts w:ascii="Times New Roman" w:hAnsi="Times New Roman" w:cs="Times New Roman"/>
                <w:b/>
                <w:bCs/>
                <w:sz w:val="24"/>
                <w:szCs w:val="24"/>
              </w:rPr>
            </w:pPr>
            <w:r w:rsidRPr="00824BC0">
              <w:rPr>
                <w:rFonts w:ascii="Times New Roman" w:hAnsi="Times New Roman" w:cs="Times New Roman"/>
                <w:b/>
                <w:bCs/>
                <w:sz w:val="24"/>
                <w:szCs w:val="24"/>
              </w:rPr>
              <w:t>904,976.22</w:t>
            </w:r>
          </w:p>
        </w:tc>
      </w:tr>
      <w:tr w:rsidR="00A8332E" w:rsidRPr="00824BC0" w14:paraId="619C7691" w14:textId="77777777" w:rsidTr="00FB4E63">
        <w:tc>
          <w:tcPr>
            <w:tcW w:w="2875" w:type="dxa"/>
          </w:tcPr>
          <w:p w14:paraId="639FF800" w14:textId="77777777" w:rsidR="00A8332E" w:rsidRPr="00824BC0" w:rsidRDefault="00A8332E" w:rsidP="00A8332E">
            <w:pPr>
              <w:jc w:val="both"/>
              <w:rPr>
                <w:rFonts w:ascii="Times New Roman" w:hAnsi="Times New Roman" w:cs="Times New Roman"/>
                <w:sz w:val="24"/>
                <w:szCs w:val="24"/>
              </w:rPr>
            </w:pPr>
            <w:r w:rsidRPr="00824BC0">
              <w:rPr>
                <w:rFonts w:ascii="Times New Roman" w:hAnsi="Times New Roman" w:cs="Times New Roman"/>
                <w:sz w:val="24"/>
                <w:szCs w:val="24"/>
              </w:rPr>
              <w:t>Construction-in-Progress*</w:t>
            </w:r>
          </w:p>
        </w:tc>
        <w:tc>
          <w:tcPr>
            <w:tcW w:w="2160" w:type="dxa"/>
            <w:vAlign w:val="bottom"/>
          </w:tcPr>
          <w:p w14:paraId="0AFA0147"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29,696,155.11</w:t>
            </w:r>
          </w:p>
        </w:tc>
        <w:tc>
          <w:tcPr>
            <w:tcW w:w="1980" w:type="dxa"/>
            <w:vAlign w:val="bottom"/>
          </w:tcPr>
          <w:p w14:paraId="340FBC23" w14:textId="77777777" w:rsidR="00A8332E" w:rsidRPr="00824BC0" w:rsidRDefault="00A8332E" w:rsidP="00A8332E">
            <w:pPr>
              <w:jc w:val="right"/>
              <w:rPr>
                <w:rFonts w:ascii="Times New Roman" w:hAnsi="Times New Roman" w:cs="Times New Roman"/>
                <w:sz w:val="24"/>
                <w:szCs w:val="24"/>
              </w:rPr>
            </w:pPr>
          </w:p>
        </w:tc>
        <w:tc>
          <w:tcPr>
            <w:tcW w:w="1620" w:type="dxa"/>
            <w:vAlign w:val="bottom"/>
          </w:tcPr>
          <w:p w14:paraId="5AB15F28" w14:textId="77777777" w:rsidR="00A8332E" w:rsidRPr="00824BC0" w:rsidRDefault="00A8332E" w:rsidP="00A8332E">
            <w:pPr>
              <w:jc w:val="right"/>
              <w:rPr>
                <w:rFonts w:ascii="Times New Roman" w:hAnsi="Times New Roman" w:cs="Times New Roman"/>
                <w:sz w:val="24"/>
                <w:szCs w:val="24"/>
              </w:rPr>
            </w:pPr>
          </w:p>
        </w:tc>
      </w:tr>
      <w:tr w:rsidR="00A8332E" w:rsidRPr="00824BC0" w14:paraId="70C92EFD" w14:textId="77777777" w:rsidTr="00FB4E63">
        <w:tc>
          <w:tcPr>
            <w:tcW w:w="2875" w:type="dxa"/>
          </w:tcPr>
          <w:p w14:paraId="4A7D8E3D" w14:textId="77777777" w:rsidR="00A8332E" w:rsidRPr="00824BC0" w:rsidRDefault="00A8332E" w:rsidP="00A8332E">
            <w:pPr>
              <w:jc w:val="both"/>
              <w:rPr>
                <w:rFonts w:ascii="Times New Roman" w:hAnsi="Times New Roman" w:cs="Times New Roman"/>
                <w:b/>
                <w:bCs/>
                <w:sz w:val="24"/>
                <w:szCs w:val="24"/>
              </w:rPr>
            </w:pPr>
            <w:r w:rsidRPr="00824BC0">
              <w:rPr>
                <w:rFonts w:ascii="Times New Roman" w:hAnsi="Times New Roman" w:cs="Times New Roman"/>
                <w:b/>
                <w:bCs/>
                <w:sz w:val="24"/>
                <w:szCs w:val="24"/>
              </w:rPr>
              <w:t>GRAND TOTAL</w:t>
            </w:r>
          </w:p>
        </w:tc>
        <w:tc>
          <w:tcPr>
            <w:tcW w:w="2160" w:type="dxa"/>
            <w:vAlign w:val="bottom"/>
          </w:tcPr>
          <w:p w14:paraId="4DC693C6" w14:textId="77777777" w:rsidR="00A8332E" w:rsidRPr="00824BC0" w:rsidRDefault="00A8332E" w:rsidP="00A8332E">
            <w:pPr>
              <w:jc w:val="right"/>
              <w:rPr>
                <w:rFonts w:ascii="Times New Roman" w:hAnsi="Times New Roman" w:cs="Times New Roman"/>
                <w:b/>
                <w:bCs/>
                <w:sz w:val="24"/>
                <w:szCs w:val="24"/>
              </w:rPr>
            </w:pPr>
            <w:r w:rsidRPr="00824BC0">
              <w:rPr>
                <w:rFonts w:ascii="Times New Roman" w:hAnsi="Times New Roman" w:cs="Times New Roman"/>
                <w:b/>
                <w:sz w:val="24"/>
                <w:szCs w:val="24"/>
              </w:rPr>
              <w:t>₱</w:t>
            </w:r>
            <w:r w:rsidRPr="00824BC0">
              <w:rPr>
                <w:rFonts w:ascii="Times New Roman" w:hAnsi="Times New Roman" w:cs="Times New Roman"/>
                <w:b/>
                <w:bCs/>
                <w:sz w:val="24"/>
                <w:szCs w:val="24"/>
              </w:rPr>
              <w:t>714,124,766.85</w:t>
            </w:r>
          </w:p>
        </w:tc>
        <w:tc>
          <w:tcPr>
            <w:tcW w:w="1980" w:type="dxa"/>
            <w:vAlign w:val="bottom"/>
          </w:tcPr>
          <w:p w14:paraId="561FF60F" w14:textId="77777777" w:rsidR="00A8332E" w:rsidRPr="00824BC0" w:rsidRDefault="00A8332E" w:rsidP="00A8332E">
            <w:pPr>
              <w:jc w:val="right"/>
              <w:rPr>
                <w:rFonts w:ascii="Times New Roman" w:hAnsi="Times New Roman" w:cs="Times New Roman"/>
                <w:b/>
                <w:bCs/>
                <w:sz w:val="24"/>
                <w:szCs w:val="24"/>
              </w:rPr>
            </w:pPr>
            <w:r w:rsidRPr="00824BC0">
              <w:rPr>
                <w:rFonts w:ascii="Times New Roman" w:hAnsi="Times New Roman" w:cs="Times New Roman"/>
                <w:b/>
                <w:sz w:val="24"/>
                <w:szCs w:val="24"/>
              </w:rPr>
              <w:t>₱</w:t>
            </w:r>
            <w:r w:rsidRPr="00824BC0">
              <w:rPr>
                <w:rFonts w:ascii="Times New Roman" w:hAnsi="Times New Roman" w:cs="Times New Roman"/>
                <w:b/>
                <w:bCs/>
                <w:sz w:val="24"/>
                <w:szCs w:val="24"/>
              </w:rPr>
              <w:t>683,523,635.52</w:t>
            </w:r>
          </w:p>
        </w:tc>
        <w:tc>
          <w:tcPr>
            <w:tcW w:w="1620" w:type="dxa"/>
            <w:vAlign w:val="bottom"/>
          </w:tcPr>
          <w:p w14:paraId="232F8334" w14:textId="77777777" w:rsidR="00A8332E" w:rsidRPr="00824BC0" w:rsidRDefault="00A8332E" w:rsidP="00A8332E">
            <w:pPr>
              <w:jc w:val="right"/>
              <w:rPr>
                <w:rFonts w:ascii="Times New Roman" w:hAnsi="Times New Roman" w:cs="Times New Roman"/>
                <w:sz w:val="24"/>
                <w:szCs w:val="24"/>
              </w:rPr>
            </w:pPr>
          </w:p>
        </w:tc>
      </w:tr>
      <w:tr w:rsidR="00A8332E" w:rsidRPr="00824BC0" w14:paraId="7E0070CA" w14:textId="77777777" w:rsidTr="00FB4E63">
        <w:tc>
          <w:tcPr>
            <w:tcW w:w="2875" w:type="dxa"/>
          </w:tcPr>
          <w:p w14:paraId="711C9C97" w14:textId="77777777" w:rsidR="00A8332E" w:rsidRPr="00824BC0" w:rsidRDefault="00A8332E" w:rsidP="00FB4E63">
            <w:pPr>
              <w:rPr>
                <w:rFonts w:ascii="Times New Roman" w:hAnsi="Times New Roman" w:cs="Times New Roman"/>
                <w:sz w:val="24"/>
                <w:szCs w:val="24"/>
              </w:rPr>
            </w:pPr>
            <w:r w:rsidRPr="00824BC0">
              <w:rPr>
                <w:rFonts w:ascii="Times New Roman" w:hAnsi="Times New Roman" w:cs="Times New Roman"/>
                <w:sz w:val="24"/>
                <w:szCs w:val="24"/>
              </w:rPr>
              <w:lastRenderedPageBreak/>
              <w:t>Less: Accumulated Depreciation</w:t>
            </w:r>
          </w:p>
        </w:tc>
        <w:tc>
          <w:tcPr>
            <w:tcW w:w="2160" w:type="dxa"/>
            <w:vAlign w:val="bottom"/>
          </w:tcPr>
          <w:p w14:paraId="71B03048"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(125,012,651.19)</w:t>
            </w:r>
          </w:p>
        </w:tc>
        <w:tc>
          <w:tcPr>
            <w:tcW w:w="1980" w:type="dxa"/>
            <w:vAlign w:val="bottom"/>
          </w:tcPr>
          <w:p w14:paraId="0F393BDC" w14:textId="77777777" w:rsidR="00A8332E" w:rsidRPr="00824BC0" w:rsidRDefault="00A8332E" w:rsidP="00A8332E">
            <w:pPr>
              <w:jc w:val="both"/>
              <w:rPr>
                <w:rFonts w:ascii="Times New Roman" w:hAnsi="Times New Roman" w:cs="Times New Roman"/>
                <w:sz w:val="24"/>
                <w:szCs w:val="24"/>
              </w:rPr>
            </w:pPr>
          </w:p>
        </w:tc>
        <w:tc>
          <w:tcPr>
            <w:tcW w:w="1620" w:type="dxa"/>
            <w:vAlign w:val="bottom"/>
          </w:tcPr>
          <w:p w14:paraId="21BA2A96" w14:textId="77777777" w:rsidR="00A8332E" w:rsidRPr="00824BC0" w:rsidRDefault="00A8332E" w:rsidP="00A8332E">
            <w:pPr>
              <w:jc w:val="both"/>
              <w:rPr>
                <w:rFonts w:ascii="Times New Roman" w:hAnsi="Times New Roman" w:cs="Times New Roman"/>
                <w:sz w:val="24"/>
                <w:szCs w:val="24"/>
              </w:rPr>
            </w:pPr>
          </w:p>
        </w:tc>
      </w:tr>
      <w:tr w:rsidR="00A8332E" w:rsidRPr="00824BC0" w14:paraId="768557A9" w14:textId="77777777" w:rsidTr="00FB4E63">
        <w:tc>
          <w:tcPr>
            <w:tcW w:w="2875" w:type="dxa"/>
          </w:tcPr>
          <w:p w14:paraId="71F3ED57" w14:textId="77777777" w:rsidR="00A8332E" w:rsidRPr="00824BC0" w:rsidRDefault="00A8332E" w:rsidP="00A8332E">
            <w:pPr>
              <w:jc w:val="both"/>
              <w:rPr>
                <w:rFonts w:ascii="Times New Roman" w:hAnsi="Times New Roman" w:cs="Times New Roman"/>
                <w:sz w:val="24"/>
                <w:szCs w:val="24"/>
              </w:rPr>
            </w:pPr>
            <w:r w:rsidRPr="00824BC0">
              <w:rPr>
                <w:rFonts w:ascii="Times New Roman" w:hAnsi="Times New Roman" w:cs="Times New Roman"/>
                <w:sz w:val="24"/>
                <w:szCs w:val="24"/>
              </w:rPr>
              <w:t xml:space="preserve">Net Carrying Amount </w:t>
            </w:r>
          </w:p>
        </w:tc>
        <w:tc>
          <w:tcPr>
            <w:tcW w:w="2160" w:type="dxa"/>
            <w:vAlign w:val="bottom"/>
          </w:tcPr>
          <w:p w14:paraId="35E51B77" w14:textId="7324821E" w:rsidR="00A8332E" w:rsidRPr="00824BC0" w:rsidRDefault="00A8332E" w:rsidP="00A8332E">
            <w:pPr>
              <w:jc w:val="right"/>
              <w:rPr>
                <w:rFonts w:ascii="Times New Roman" w:hAnsi="Times New Roman" w:cs="Times New Roman"/>
                <w:b/>
                <w:bCs/>
                <w:sz w:val="24"/>
                <w:szCs w:val="24"/>
              </w:rPr>
            </w:pPr>
            <w:r w:rsidRPr="00824BC0">
              <w:rPr>
                <w:rFonts w:ascii="Times New Roman" w:hAnsi="Times New Roman" w:cs="Times New Roman"/>
                <w:b/>
                <w:sz w:val="24"/>
                <w:szCs w:val="24"/>
              </w:rPr>
              <w:t>₱</w:t>
            </w:r>
            <w:r w:rsidRPr="00824BC0">
              <w:rPr>
                <w:rFonts w:ascii="Times New Roman" w:hAnsi="Times New Roman" w:cs="Times New Roman"/>
                <w:b/>
                <w:bCs/>
                <w:sz w:val="24"/>
                <w:szCs w:val="24"/>
              </w:rPr>
              <w:t>589,112,1</w:t>
            </w:r>
            <w:r w:rsidR="00876496" w:rsidRPr="00824BC0">
              <w:rPr>
                <w:rFonts w:ascii="Times New Roman" w:hAnsi="Times New Roman" w:cs="Times New Roman"/>
                <w:b/>
                <w:bCs/>
                <w:sz w:val="24"/>
                <w:szCs w:val="24"/>
              </w:rPr>
              <w:t>1</w:t>
            </w:r>
            <w:r w:rsidRPr="00824BC0">
              <w:rPr>
                <w:rFonts w:ascii="Times New Roman" w:hAnsi="Times New Roman" w:cs="Times New Roman"/>
                <w:b/>
                <w:bCs/>
                <w:sz w:val="24"/>
                <w:szCs w:val="24"/>
              </w:rPr>
              <w:t>5.66</w:t>
            </w:r>
          </w:p>
        </w:tc>
        <w:tc>
          <w:tcPr>
            <w:tcW w:w="1980" w:type="dxa"/>
            <w:vAlign w:val="bottom"/>
          </w:tcPr>
          <w:p w14:paraId="315B7D9F" w14:textId="77777777" w:rsidR="00A8332E" w:rsidRPr="00824BC0" w:rsidRDefault="00A8332E" w:rsidP="00A8332E">
            <w:pPr>
              <w:jc w:val="both"/>
              <w:rPr>
                <w:rFonts w:ascii="Times New Roman" w:hAnsi="Times New Roman" w:cs="Times New Roman"/>
                <w:sz w:val="24"/>
                <w:szCs w:val="24"/>
              </w:rPr>
            </w:pPr>
          </w:p>
        </w:tc>
        <w:tc>
          <w:tcPr>
            <w:tcW w:w="1620" w:type="dxa"/>
            <w:vAlign w:val="bottom"/>
          </w:tcPr>
          <w:p w14:paraId="1DEF0AFD" w14:textId="77777777" w:rsidR="00A8332E" w:rsidRPr="00824BC0" w:rsidRDefault="00A8332E" w:rsidP="00A8332E">
            <w:pPr>
              <w:jc w:val="both"/>
              <w:rPr>
                <w:rFonts w:ascii="Times New Roman" w:hAnsi="Times New Roman" w:cs="Times New Roman"/>
                <w:sz w:val="24"/>
                <w:szCs w:val="24"/>
              </w:rPr>
            </w:pPr>
          </w:p>
        </w:tc>
      </w:tr>
    </w:tbl>
    <w:p w14:paraId="7480E0BB" w14:textId="77777777" w:rsidR="00A8332E" w:rsidRPr="00824BC0" w:rsidRDefault="00A8332E" w:rsidP="00A8332E">
      <w:pPr>
        <w:spacing w:after="0" w:line="240" w:lineRule="auto"/>
        <w:jc w:val="both"/>
        <w:rPr>
          <w:rFonts w:ascii="Times New Roman" w:hAnsi="Times New Roman" w:cs="Times New Roman"/>
          <w:i/>
          <w:iCs/>
          <w:sz w:val="24"/>
          <w:szCs w:val="24"/>
        </w:rPr>
      </w:pPr>
      <w:r w:rsidRPr="00824BC0">
        <w:rPr>
          <w:rFonts w:ascii="Times New Roman" w:hAnsi="Times New Roman" w:cs="Times New Roman"/>
          <w:i/>
          <w:iCs/>
          <w:sz w:val="24"/>
          <w:szCs w:val="24"/>
        </w:rPr>
        <w:t xml:space="preserve">*Not included in the property records unless finished. </w:t>
      </w:r>
    </w:p>
    <w:p w14:paraId="0F3A6D55" w14:textId="77777777" w:rsidR="00A8332E" w:rsidRPr="00824BC0" w:rsidRDefault="00A8332E" w:rsidP="00A8332E">
      <w:pPr>
        <w:spacing w:after="0" w:line="240" w:lineRule="auto"/>
        <w:ind w:firstLine="720"/>
        <w:jc w:val="both"/>
        <w:rPr>
          <w:rFonts w:ascii="Times New Roman" w:hAnsi="Times New Roman" w:cs="Times New Roman"/>
          <w:sz w:val="24"/>
          <w:szCs w:val="24"/>
        </w:rPr>
      </w:pPr>
    </w:p>
    <w:p w14:paraId="4F81120C" w14:textId="77777777" w:rsidR="00A8332E" w:rsidRPr="00824BC0" w:rsidRDefault="00A8332E" w:rsidP="00A8332E">
      <w:pPr>
        <w:pStyle w:val="ListParagraph"/>
        <w:numPr>
          <w:ilvl w:val="1"/>
          <w:numId w:val="5"/>
        </w:numPr>
        <w:ind w:left="0" w:firstLine="0"/>
        <w:jc w:val="both"/>
        <w:rPr>
          <w:szCs w:val="24"/>
        </w:rPr>
      </w:pPr>
      <w:r w:rsidRPr="00824BC0">
        <w:rPr>
          <w:szCs w:val="24"/>
        </w:rPr>
        <w:t xml:space="preserve">According to the Accountant and the Property Officer, there is an ongoing reconciliation between their records to establish the details of the unreconciled amount. </w:t>
      </w:r>
    </w:p>
    <w:p w14:paraId="259E2ABB" w14:textId="77777777" w:rsidR="00A8332E" w:rsidRPr="00824BC0" w:rsidRDefault="00A8332E" w:rsidP="00A8332E">
      <w:pPr>
        <w:spacing w:after="0" w:line="240" w:lineRule="auto"/>
        <w:jc w:val="both"/>
        <w:rPr>
          <w:rFonts w:ascii="Times New Roman" w:hAnsi="Times New Roman" w:cs="Times New Roman"/>
          <w:b/>
          <w:bCs/>
          <w:sz w:val="24"/>
          <w:szCs w:val="24"/>
        </w:rPr>
      </w:pPr>
    </w:p>
    <w:p w14:paraId="3FDA0FA4" w14:textId="77777777" w:rsidR="00A8332E" w:rsidRPr="00824BC0" w:rsidRDefault="00A8332E" w:rsidP="00A8332E">
      <w:pPr>
        <w:pStyle w:val="ListParagraph"/>
        <w:numPr>
          <w:ilvl w:val="0"/>
          <w:numId w:val="3"/>
        </w:numPr>
        <w:ind w:left="810" w:firstLine="0"/>
        <w:jc w:val="both"/>
        <w:rPr>
          <w:b/>
          <w:bCs/>
          <w:i/>
          <w:iCs/>
          <w:szCs w:val="24"/>
        </w:rPr>
      </w:pPr>
      <w:r w:rsidRPr="00824BC0">
        <w:rPr>
          <w:bCs/>
          <w:i/>
          <w:iCs/>
          <w:szCs w:val="24"/>
        </w:rPr>
        <w:t xml:space="preserve">Inclusion of office equipment and semi-expendable items in the carrying amount of the buildings – </w:t>
      </w:r>
      <w:r w:rsidRPr="00824BC0">
        <w:rPr>
          <w:i/>
          <w:szCs w:val="24"/>
        </w:rPr>
        <w:t>₱</w:t>
      </w:r>
      <w:r w:rsidRPr="00824BC0">
        <w:rPr>
          <w:bCs/>
          <w:i/>
          <w:iCs/>
          <w:szCs w:val="24"/>
        </w:rPr>
        <w:t>2,158,000.00</w:t>
      </w:r>
    </w:p>
    <w:p w14:paraId="2B96D9E6" w14:textId="77777777" w:rsidR="00A8332E" w:rsidRPr="00824BC0" w:rsidRDefault="00A8332E" w:rsidP="00A8332E">
      <w:pPr>
        <w:spacing w:after="0" w:line="240" w:lineRule="auto"/>
        <w:jc w:val="both"/>
        <w:rPr>
          <w:rFonts w:ascii="Times New Roman" w:hAnsi="Times New Roman" w:cs="Times New Roman"/>
          <w:b/>
          <w:bCs/>
          <w:i/>
          <w:iCs/>
          <w:sz w:val="24"/>
          <w:szCs w:val="24"/>
        </w:rPr>
      </w:pPr>
    </w:p>
    <w:p w14:paraId="553225CB" w14:textId="77777777" w:rsidR="00A8332E" w:rsidRPr="00824BC0" w:rsidRDefault="00A8332E" w:rsidP="00A8332E">
      <w:pPr>
        <w:pStyle w:val="ListParagraph"/>
        <w:numPr>
          <w:ilvl w:val="1"/>
          <w:numId w:val="5"/>
        </w:numPr>
        <w:ind w:left="0" w:firstLine="0"/>
        <w:jc w:val="both"/>
        <w:rPr>
          <w:szCs w:val="24"/>
        </w:rPr>
      </w:pPr>
      <w:r w:rsidRPr="00824BC0">
        <w:rPr>
          <w:szCs w:val="24"/>
        </w:rPr>
        <w:t>Section 5, Chapter 10 of the Government Accounting Manual (GAM) for National Government Agencies (NGAs), Volume I, prescribes that the cost of an item of PPE includes, among others, the following:</w:t>
      </w:r>
    </w:p>
    <w:p w14:paraId="7FE0C365" w14:textId="77777777" w:rsidR="00A8332E" w:rsidRPr="00824BC0" w:rsidRDefault="00A8332E" w:rsidP="00A8332E">
      <w:pPr>
        <w:spacing w:after="0" w:line="240" w:lineRule="auto"/>
        <w:ind w:firstLine="720"/>
        <w:jc w:val="both"/>
        <w:rPr>
          <w:rFonts w:ascii="Times New Roman" w:hAnsi="Times New Roman" w:cs="Times New Roman"/>
          <w:sz w:val="24"/>
          <w:szCs w:val="24"/>
        </w:rPr>
      </w:pPr>
    </w:p>
    <w:p w14:paraId="0C60B8E9" w14:textId="75A28C99" w:rsidR="00876496" w:rsidRPr="00824BC0" w:rsidRDefault="00A8332E" w:rsidP="00876496">
      <w:pPr>
        <w:pStyle w:val="ListParagraph"/>
        <w:numPr>
          <w:ilvl w:val="0"/>
          <w:numId w:val="28"/>
        </w:numPr>
        <w:ind w:left="1134"/>
        <w:jc w:val="both"/>
        <w:rPr>
          <w:szCs w:val="24"/>
        </w:rPr>
      </w:pPr>
      <w:r w:rsidRPr="00824BC0">
        <w:rPr>
          <w:szCs w:val="24"/>
        </w:rPr>
        <w:t>Purchase price, including import duties and non-refundable purchase taxes,</w:t>
      </w:r>
      <w:r w:rsidR="00876496" w:rsidRPr="00824BC0">
        <w:rPr>
          <w:szCs w:val="24"/>
        </w:rPr>
        <w:t xml:space="preserve"> </w:t>
      </w:r>
      <w:r w:rsidRPr="00824BC0">
        <w:rPr>
          <w:szCs w:val="24"/>
        </w:rPr>
        <w:t xml:space="preserve">after deducting trade discounts and rebates; </w:t>
      </w:r>
    </w:p>
    <w:p w14:paraId="77F8AE22" w14:textId="77777777" w:rsidR="00876496" w:rsidRPr="00824BC0" w:rsidRDefault="00876496" w:rsidP="00876496">
      <w:pPr>
        <w:pStyle w:val="ListParagraph"/>
        <w:ind w:left="1134"/>
        <w:jc w:val="both"/>
        <w:rPr>
          <w:szCs w:val="24"/>
        </w:rPr>
      </w:pPr>
    </w:p>
    <w:p w14:paraId="3A544CA1" w14:textId="77777777" w:rsidR="00876496" w:rsidRPr="00824BC0" w:rsidRDefault="00A8332E" w:rsidP="00876496">
      <w:pPr>
        <w:pStyle w:val="ListParagraph"/>
        <w:numPr>
          <w:ilvl w:val="0"/>
          <w:numId w:val="28"/>
        </w:numPr>
        <w:ind w:left="1134"/>
        <w:jc w:val="both"/>
        <w:rPr>
          <w:szCs w:val="24"/>
        </w:rPr>
      </w:pPr>
      <w:r w:rsidRPr="00824BC0">
        <w:rPr>
          <w:szCs w:val="24"/>
        </w:rPr>
        <w:t xml:space="preserve">Any cost directly attributable to bringing the asset to the location and condition for it to be capable of operating in the manner intended by </w:t>
      </w:r>
      <w:r w:rsidR="00876496" w:rsidRPr="00824BC0">
        <w:rPr>
          <w:szCs w:val="24"/>
        </w:rPr>
        <w:t>M</w:t>
      </w:r>
      <w:r w:rsidRPr="00824BC0">
        <w:rPr>
          <w:szCs w:val="24"/>
        </w:rPr>
        <w:t xml:space="preserve">anagement. </w:t>
      </w:r>
    </w:p>
    <w:p w14:paraId="4F0CA1DE" w14:textId="77777777" w:rsidR="00876496" w:rsidRPr="00824BC0" w:rsidRDefault="00876496" w:rsidP="00876496">
      <w:pPr>
        <w:pStyle w:val="ListParagraph"/>
        <w:rPr>
          <w:szCs w:val="24"/>
        </w:rPr>
      </w:pPr>
    </w:p>
    <w:p w14:paraId="1DD46F27" w14:textId="7BEFD1E6" w:rsidR="00A8332E" w:rsidRPr="00824BC0" w:rsidRDefault="00A8332E" w:rsidP="00876496">
      <w:pPr>
        <w:pStyle w:val="ListParagraph"/>
        <w:numPr>
          <w:ilvl w:val="0"/>
          <w:numId w:val="28"/>
        </w:numPr>
        <w:ind w:left="1134"/>
        <w:jc w:val="both"/>
        <w:rPr>
          <w:szCs w:val="24"/>
        </w:rPr>
      </w:pPr>
      <w:r w:rsidRPr="00824BC0">
        <w:rPr>
          <w:szCs w:val="24"/>
        </w:rPr>
        <w:t>The initial estimate of the costs of dismantling and removing the item and restoring the site on which it is located, the obligation for which an entity incurs either when the item is acquired, or as a consequence of having used the item during a particular period for purposes other than to produce inventories during that period.</w:t>
      </w:r>
    </w:p>
    <w:p w14:paraId="79B8DF17" w14:textId="77777777" w:rsidR="00A8332E" w:rsidRPr="00824BC0" w:rsidRDefault="00A8332E" w:rsidP="00A8332E">
      <w:pPr>
        <w:spacing w:after="0" w:line="240" w:lineRule="auto"/>
        <w:jc w:val="both"/>
        <w:rPr>
          <w:rFonts w:ascii="Times New Roman" w:hAnsi="Times New Roman" w:cs="Times New Roman"/>
          <w:b/>
          <w:bCs/>
          <w:i/>
          <w:iCs/>
          <w:sz w:val="24"/>
          <w:szCs w:val="24"/>
        </w:rPr>
      </w:pPr>
    </w:p>
    <w:p w14:paraId="445370D6" w14:textId="1E451A1C" w:rsidR="00A8332E" w:rsidRPr="00824BC0" w:rsidRDefault="00A8332E" w:rsidP="00A8332E">
      <w:pPr>
        <w:pStyle w:val="ListParagraph"/>
        <w:numPr>
          <w:ilvl w:val="1"/>
          <w:numId w:val="5"/>
        </w:numPr>
        <w:ind w:left="0" w:firstLine="0"/>
        <w:jc w:val="both"/>
        <w:rPr>
          <w:szCs w:val="24"/>
        </w:rPr>
      </w:pPr>
      <w:r w:rsidRPr="00824BC0">
        <w:rPr>
          <w:szCs w:val="24"/>
        </w:rPr>
        <w:t xml:space="preserve">Review of the </w:t>
      </w:r>
      <w:r w:rsidR="00876496" w:rsidRPr="00824BC0">
        <w:rPr>
          <w:szCs w:val="24"/>
        </w:rPr>
        <w:t xml:space="preserve">GIR </w:t>
      </w:r>
      <w:r w:rsidRPr="00824BC0">
        <w:rPr>
          <w:szCs w:val="24"/>
        </w:rPr>
        <w:t>of PPE prepared by the Property Officer revealed that the recorded cost of some buildings constructed for and owned by the Bulacan Agricultural State College (BASC) included office equipment and semi-expendable items which were not directly attributable to the assets. In our analysis, these expenses should not have been capitalized to the Buildings and Other Structures account, as tabulated below:</w:t>
      </w:r>
    </w:p>
    <w:p w14:paraId="501CA8C5" w14:textId="77777777" w:rsidR="00A8332E" w:rsidRPr="00824BC0" w:rsidRDefault="00A8332E" w:rsidP="00A8332E">
      <w:pPr>
        <w:spacing w:after="0" w:line="240" w:lineRule="auto"/>
        <w:ind w:firstLine="567"/>
        <w:jc w:val="both"/>
        <w:rPr>
          <w:rFonts w:ascii="Times New Roman" w:hAnsi="Times New Roman" w:cs="Times New Roman"/>
          <w:sz w:val="24"/>
          <w:szCs w:val="24"/>
        </w:rPr>
      </w:pPr>
    </w:p>
    <w:tbl>
      <w:tblPr>
        <w:tblStyle w:val="TableGrid"/>
        <w:tblW w:w="8635" w:type="dxa"/>
        <w:tblLook w:val="04A0" w:firstRow="1" w:lastRow="0" w:firstColumn="1" w:lastColumn="0" w:noHBand="0" w:noVBand="1"/>
      </w:tblPr>
      <w:tblGrid>
        <w:gridCol w:w="1993"/>
        <w:gridCol w:w="1993"/>
        <w:gridCol w:w="2105"/>
        <w:gridCol w:w="2544"/>
      </w:tblGrid>
      <w:tr w:rsidR="00A8332E" w:rsidRPr="00824BC0" w14:paraId="52F3D35F" w14:textId="77777777" w:rsidTr="00FB4E63">
        <w:trPr>
          <w:tblHeader/>
        </w:trPr>
        <w:tc>
          <w:tcPr>
            <w:tcW w:w="1993" w:type="dxa"/>
            <w:shd w:val="clear" w:color="auto" w:fill="BFBFBF" w:themeFill="background1" w:themeFillShade="BF"/>
            <w:vAlign w:val="center"/>
          </w:tcPr>
          <w:p w14:paraId="76835E09" w14:textId="77777777" w:rsidR="00A8332E" w:rsidRPr="00824BC0" w:rsidRDefault="00A8332E" w:rsidP="00A8332E">
            <w:pPr>
              <w:jc w:val="center"/>
              <w:rPr>
                <w:rFonts w:ascii="Times New Roman" w:hAnsi="Times New Roman" w:cs="Times New Roman"/>
                <w:b/>
                <w:bCs/>
                <w:sz w:val="24"/>
                <w:szCs w:val="24"/>
              </w:rPr>
            </w:pPr>
            <w:r w:rsidRPr="00824BC0">
              <w:rPr>
                <w:rFonts w:ascii="Times New Roman" w:hAnsi="Times New Roman" w:cs="Times New Roman"/>
                <w:b/>
                <w:bCs/>
                <w:sz w:val="24"/>
                <w:szCs w:val="24"/>
              </w:rPr>
              <w:t>Buildings</w:t>
            </w:r>
          </w:p>
        </w:tc>
        <w:tc>
          <w:tcPr>
            <w:tcW w:w="1993" w:type="dxa"/>
            <w:shd w:val="clear" w:color="auto" w:fill="BFBFBF" w:themeFill="background1" w:themeFillShade="BF"/>
            <w:vAlign w:val="center"/>
          </w:tcPr>
          <w:p w14:paraId="28BB829F" w14:textId="77777777" w:rsidR="00A8332E" w:rsidRPr="00824BC0" w:rsidRDefault="00A8332E" w:rsidP="00A8332E">
            <w:pPr>
              <w:jc w:val="center"/>
              <w:rPr>
                <w:rFonts w:ascii="Times New Roman" w:hAnsi="Times New Roman" w:cs="Times New Roman"/>
                <w:b/>
                <w:bCs/>
                <w:sz w:val="24"/>
                <w:szCs w:val="24"/>
              </w:rPr>
            </w:pPr>
            <w:r w:rsidRPr="00824BC0">
              <w:rPr>
                <w:rFonts w:ascii="Times New Roman" w:hAnsi="Times New Roman" w:cs="Times New Roman"/>
                <w:b/>
                <w:bCs/>
                <w:sz w:val="24"/>
                <w:szCs w:val="24"/>
              </w:rPr>
              <w:t>Cost</w:t>
            </w:r>
          </w:p>
        </w:tc>
        <w:tc>
          <w:tcPr>
            <w:tcW w:w="2105" w:type="dxa"/>
            <w:shd w:val="clear" w:color="auto" w:fill="BFBFBF" w:themeFill="background1" w:themeFillShade="BF"/>
            <w:vAlign w:val="center"/>
          </w:tcPr>
          <w:p w14:paraId="3C8ED146" w14:textId="77777777" w:rsidR="00A8332E" w:rsidRPr="00824BC0" w:rsidRDefault="00A8332E" w:rsidP="00A8332E">
            <w:pPr>
              <w:jc w:val="center"/>
              <w:rPr>
                <w:rFonts w:ascii="Times New Roman" w:hAnsi="Times New Roman" w:cs="Times New Roman"/>
                <w:b/>
                <w:bCs/>
                <w:sz w:val="24"/>
                <w:szCs w:val="24"/>
              </w:rPr>
            </w:pPr>
            <w:r w:rsidRPr="00824BC0">
              <w:rPr>
                <w:rFonts w:ascii="Times New Roman" w:hAnsi="Times New Roman" w:cs="Times New Roman"/>
                <w:b/>
                <w:bCs/>
                <w:sz w:val="24"/>
                <w:szCs w:val="24"/>
              </w:rPr>
              <w:t>Semi Expendable items capitalized*</w:t>
            </w:r>
          </w:p>
        </w:tc>
        <w:tc>
          <w:tcPr>
            <w:tcW w:w="2544" w:type="dxa"/>
            <w:shd w:val="clear" w:color="auto" w:fill="BFBFBF" w:themeFill="background1" w:themeFillShade="BF"/>
            <w:vAlign w:val="center"/>
          </w:tcPr>
          <w:p w14:paraId="4DFF3728" w14:textId="77777777" w:rsidR="00A8332E" w:rsidRPr="00824BC0" w:rsidRDefault="00A8332E" w:rsidP="00A8332E">
            <w:pPr>
              <w:jc w:val="center"/>
              <w:rPr>
                <w:rFonts w:ascii="Times New Roman" w:hAnsi="Times New Roman" w:cs="Times New Roman"/>
                <w:b/>
                <w:bCs/>
                <w:sz w:val="24"/>
                <w:szCs w:val="24"/>
              </w:rPr>
            </w:pPr>
            <w:r w:rsidRPr="00824BC0">
              <w:rPr>
                <w:rFonts w:ascii="Times New Roman" w:hAnsi="Times New Roman" w:cs="Times New Roman"/>
                <w:b/>
                <w:bCs/>
                <w:sz w:val="24"/>
                <w:szCs w:val="24"/>
              </w:rPr>
              <w:t>Particulars</w:t>
            </w:r>
          </w:p>
        </w:tc>
      </w:tr>
      <w:tr w:rsidR="00A8332E" w:rsidRPr="00824BC0" w14:paraId="7028D1D8" w14:textId="77777777" w:rsidTr="00FB4E63">
        <w:tc>
          <w:tcPr>
            <w:tcW w:w="1993" w:type="dxa"/>
          </w:tcPr>
          <w:p w14:paraId="6F00B52E" w14:textId="77777777" w:rsidR="00A8332E" w:rsidRPr="00824BC0" w:rsidRDefault="00A8332E" w:rsidP="00A8332E">
            <w:pPr>
              <w:rPr>
                <w:rFonts w:ascii="Times New Roman" w:hAnsi="Times New Roman" w:cs="Times New Roman"/>
                <w:sz w:val="24"/>
                <w:szCs w:val="24"/>
              </w:rPr>
            </w:pPr>
            <w:r w:rsidRPr="00824BC0">
              <w:rPr>
                <w:rFonts w:ascii="Times New Roman" w:hAnsi="Times New Roman" w:cs="Times New Roman"/>
                <w:sz w:val="24"/>
                <w:szCs w:val="24"/>
              </w:rPr>
              <w:t>College Library Extension</w:t>
            </w:r>
          </w:p>
        </w:tc>
        <w:tc>
          <w:tcPr>
            <w:tcW w:w="1993" w:type="dxa"/>
          </w:tcPr>
          <w:p w14:paraId="0933A578" w14:textId="77777777" w:rsidR="00A8332E" w:rsidRPr="00824BC0" w:rsidRDefault="00A8332E" w:rsidP="00A8332E">
            <w:pPr>
              <w:jc w:val="right"/>
              <w:rPr>
                <w:rFonts w:ascii="Times New Roman" w:hAnsi="Times New Roman" w:cs="Times New Roman"/>
                <w:dstrike/>
                <w:sz w:val="24"/>
                <w:szCs w:val="24"/>
              </w:rPr>
            </w:pPr>
            <w:r w:rsidRPr="00824BC0">
              <w:rPr>
                <w:rFonts w:ascii="Times New Roman" w:hAnsi="Times New Roman" w:cs="Times New Roman"/>
                <w:sz w:val="24"/>
                <w:szCs w:val="24"/>
              </w:rPr>
              <w:t>₱10,000,000.00</w:t>
            </w:r>
          </w:p>
        </w:tc>
        <w:tc>
          <w:tcPr>
            <w:tcW w:w="2105" w:type="dxa"/>
          </w:tcPr>
          <w:p w14:paraId="1D5F9488"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 116,000.00</w:t>
            </w:r>
          </w:p>
        </w:tc>
        <w:tc>
          <w:tcPr>
            <w:tcW w:w="2544" w:type="dxa"/>
          </w:tcPr>
          <w:p w14:paraId="76D1F820" w14:textId="77777777" w:rsidR="00A8332E" w:rsidRPr="00824BC0" w:rsidRDefault="00A8332E" w:rsidP="00A8332E">
            <w:pPr>
              <w:jc w:val="both"/>
              <w:rPr>
                <w:rFonts w:ascii="Times New Roman" w:hAnsi="Times New Roman" w:cs="Times New Roman"/>
                <w:sz w:val="24"/>
                <w:szCs w:val="24"/>
              </w:rPr>
            </w:pPr>
            <w:r w:rsidRPr="00824BC0">
              <w:rPr>
                <w:rFonts w:ascii="Times New Roman" w:hAnsi="Times New Roman" w:cs="Times New Roman"/>
                <w:sz w:val="24"/>
                <w:szCs w:val="24"/>
              </w:rPr>
              <w:t>Monoblock chairs with backrest and ceiling fans</w:t>
            </w:r>
          </w:p>
        </w:tc>
      </w:tr>
      <w:tr w:rsidR="00A8332E" w:rsidRPr="00824BC0" w14:paraId="12ACFE4D" w14:textId="77777777" w:rsidTr="00FB4E63">
        <w:tc>
          <w:tcPr>
            <w:tcW w:w="1993" w:type="dxa"/>
          </w:tcPr>
          <w:p w14:paraId="69072CCC" w14:textId="77777777" w:rsidR="00A8332E" w:rsidRPr="00824BC0" w:rsidRDefault="00A8332E" w:rsidP="00A8332E">
            <w:pPr>
              <w:rPr>
                <w:rFonts w:ascii="Times New Roman" w:hAnsi="Times New Roman" w:cs="Times New Roman"/>
                <w:sz w:val="24"/>
                <w:szCs w:val="24"/>
              </w:rPr>
            </w:pPr>
            <w:r w:rsidRPr="00824BC0">
              <w:rPr>
                <w:rFonts w:ascii="Times New Roman" w:hAnsi="Times New Roman" w:cs="Times New Roman"/>
                <w:sz w:val="24"/>
                <w:szCs w:val="24"/>
              </w:rPr>
              <w:t xml:space="preserve">Student Center </w:t>
            </w:r>
          </w:p>
        </w:tc>
        <w:tc>
          <w:tcPr>
            <w:tcW w:w="1993" w:type="dxa"/>
          </w:tcPr>
          <w:p w14:paraId="534E8C83"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9,999,273.20</w:t>
            </w:r>
          </w:p>
        </w:tc>
        <w:tc>
          <w:tcPr>
            <w:tcW w:w="2105" w:type="dxa"/>
          </w:tcPr>
          <w:p w14:paraId="077167D8"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92,000.00</w:t>
            </w:r>
          </w:p>
        </w:tc>
        <w:tc>
          <w:tcPr>
            <w:tcW w:w="2544" w:type="dxa"/>
          </w:tcPr>
          <w:p w14:paraId="24A96C50" w14:textId="77777777" w:rsidR="00A8332E" w:rsidRPr="00824BC0" w:rsidRDefault="00A8332E" w:rsidP="00A8332E">
            <w:pPr>
              <w:jc w:val="both"/>
              <w:rPr>
                <w:rFonts w:ascii="Times New Roman" w:hAnsi="Times New Roman" w:cs="Times New Roman"/>
                <w:sz w:val="24"/>
                <w:szCs w:val="24"/>
              </w:rPr>
            </w:pPr>
            <w:r w:rsidRPr="00824BC0">
              <w:rPr>
                <w:rFonts w:ascii="Times New Roman" w:hAnsi="Times New Roman" w:cs="Times New Roman"/>
                <w:sz w:val="24"/>
                <w:szCs w:val="24"/>
              </w:rPr>
              <w:t>Monoblock chairs with backrest and ceiling fans</w:t>
            </w:r>
          </w:p>
        </w:tc>
      </w:tr>
      <w:tr w:rsidR="00A8332E" w:rsidRPr="00824BC0" w14:paraId="7BA31975" w14:textId="77777777" w:rsidTr="00FB4E63">
        <w:tc>
          <w:tcPr>
            <w:tcW w:w="1993" w:type="dxa"/>
          </w:tcPr>
          <w:p w14:paraId="11A47D28" w14:textId="77777777" w:rsidR="00A8332E" w:rsidRPr="00824BC0" w:rsidRDefault="00A8332E" w:rsidP="00A8332E">
            <w:pPr>
              <w:rPr>
                <w:rFonts w:ascii="Times New Roman" w:hAnsi="Times New Roman" w:cs="Times New Roman"/>
                <w:sz w:val="24"/>
                <w:szCs w:val="24"/>
              </w:rPr>
            </w:pPr>
            <w:r w:rsidRPr="00824BC0">
              <w:rPr>
                <w:rFonts w:ascii="Times New Roman" w:hAnsi="Times New Roman" w:cs="Times New Roman"/>
                <w:sz w:val="24"/>
                <w:szCs w:val="24"/>
              </w:rPr>
              <w:t xml:space="preserve">Graduate Studies Building </w:t>
            </w:r>
          </w:p>
        </w:tc>
        <w:tc>
          <w:tcPr>
            <w:tcW w:w="1993" w:type="dxa"/>
          </w:tcPr>
          <w:p w14:paraId="6E622F4F"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9,999,240.17</w:t>
            </w:r>
          </w:p>
        </w:tc>
        <w:tc>
          <w:tcPr>
            <w:tcW w:w="2105" w:type="dxa"/>
          </w:tcPr>
          <w:p w14:paraId="47BDEA5A"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182,800.00</w:t>
            </w:r>
          </w:p>
        </w:tc>
        <w:tc>
          <w:tcPr>
            <w:tcW w:w="2544" w:type="dxa"/>
          </w:tcPr>
          <w:p w14:paraId="5BD453E3" w14:textId="77777777" w:rsidR="00A8332E" w:rsidRPr="00824BC0" w:rsidRDefault="00A8332E" w:rsidP="00A8332E">
            <w:pPr>
              <w:jc w:val="both"/>
              <w:rPr>
                <w:rFonts w:ascii="Times New Roman" w:hAnsi="Times New Roman" w:cs="Times New Roman"/>
                <w:sz w:val="24"/>
                <w:szCs w:val="24"/>
              </w:rPr>
            </w:pPr>
            <w:r w:rsidRPr="00824BC0">
              <w:rPr>
                <w:rFonts w:ascii="Times New Roman" w:hAnsi="Times New Roman" w:cs="Times New Roman"/>
                <w:sz w:val="24"/>
                <w:szCs w:val="24"/>
              </w:rPr>
              <w:t>Armchairs, teachers’ tables and chairs, ceiling and wall fans</w:t>
            </w:r>
          </w:p>
        </w:tc>
      </w:tr>
      <w:tr w:rsidR="00A8332E" w:rsidRPr="00824BC0" w14:paraId="0AF1C441" w14:textId="77777777" w:rsidTr="00FB4E63">
        <w:tc>
          <w:tcPr>
            <w:tcW w:w="1993" w:type="dxa"/>
          </w:tcPr>
          <w:p w14:paraId="3B149038" w14:textId="77777777" w:rsidR="00A8332E" w:rsidRPr="00824BC0" w:rsidRDefault="00A8332E" w:rsidP="00A8332E">
            <w:pPr>
              <w:rPr>
                <w:rFonts w:ascii="Times New Roman" w:hAnsi="Times New Roman" w:cs="Times New Roman"/>
                <w:sz w:val="24"/>
                <w:szCs w:val="24"/>
              </w:rPr>
            </w:pPr>
            <w:r w:rsidRPr="00824BC0">
              <w:rPr>
                <w:rFonts w:ascii="Times New Roman" w:hAnsi="Times New Roman" w:cs="Times New Roman"/>
                <w:sz w:val="24"/>
                <w:szCs w:val="24"/>
              </w:rPr>
              <w:lastRenderedPageBreak/>
              <w:t xml:space="preserve">Agri-Business Building </w:t>
            </w:r>
          </w:p>
        </w:tc>
        <w:tc>
          <w:tcPr>
            <w:tcW w:w="1993" w:type="dxa"/>
          </w:tcPr>
          <w:p w14:paraId="1EED91C8"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19,999,079.34</w:t>
            </w:r>
          </w:p>
        </w:tc>
        <w:tc>
          <w:tcPr>
            <w:tcW w:w="2105" w:type="dxa"/>
          </w:tcPr>
          <w:p w14:paraId="1AFE6C8A"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799,600.00</w:t>
            </w:r>
          </w:p>
        </w:tc>
        <w:tc>
          <w:tcPr>
            <w:tcW w:w="2544" w:type="dxa"/>
          </w:tcPr>
          <w:p w14:paraId="2D96BD88" w14:textId="77777777" w:rsidR="00A8332E" w:rsidRPr="00824BC0" w:rsidRDefault="00A8332E" w:rsidP="00A8332E">
            <w:pPr>
              <w:jc w:val="both"/>
              <w:rPr>
                <w:rFonts w:ascii="Times New Roman" w:hAnsi="Times New Roman" w:cs="Times New Roman"/>
                <w:sz w:val="24"/>
                <w:szCs w:val="24"/>
              </w:rPr>
            </w:pPr>
            <w:r w:rsidRPr="00824BC0">
              <w:rPr>
                <w:rFonts w:ascii="Times New Roman" w:hAnsi="Times New Roman" w:cs="Times New Roman"/>
                <w:sz w:val="24"/>
                <w:szCs w:val="24"/>
              </w:rPr>
              <w:t>Armchairs, whiteboard, greenboard, teachers’ tables and chairs, ceiling fans, aircon units, and television sets</w:t>
            </w:r>
          </w:p>
        </w:tc>
      </w:tr>
      <w:tr w:rsidR="00A8332E" w:rsidRPr="00824BC0" w14:paraId="5EB7C20F" w14:textId="77777777" w:rsidTr="00FB4E63">
        <w:tc>
          <w:tcPr>
            <w:tcW w:w="1993" w:type="dxa"/>
          </w:tcPr>
          <w:p w14:paraId="7802ADC7" w14:textId="77777777" w:rsidR="00A8332E" w:rsidRPr="00824BC0" w:rsidRDefault="00A8332E" w:rsidP="00A8332E">
            <w:pPr>
              <w:rPr>
                <w:rFonts w:ascii="Times New Roman" w:hAnsi="Times New Roman" w:cs="Times New Roman"/>
                <w:sz w:val="24"/>
                <w:szCs w:val="24"/>
              </w:rPr>
            </w:pPr>
            <w:r w:rsidRPr="00824BC0">
              <w:rPr>
                <w:rFonts w:ascii="Times New Roman" w:hAnsi="Times New Roman" w:cs="Times New Roman"/>
                <w:sz w:val="24"/>
                <w:szCs w:val="24"/>
              </w:rPr>
              <w:t xml:space="preserve">Animal Science Building </w:t>
            </w:r>
          </w:p>
        </w:tc>
        <w:tc>
          <w:tcPr>
            <w:tcW w:w="1993" w:type="dxa"/>
          </w:tcPr>
          <w:p w14:paraId="19D1A607"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19,977,263.00</w:t>
            </w:r>
          </w:p>
        </w:tc>
        <w:tc>
          <w:tcPr>
            <w:tcW w:w="2105" w:type="dxa"/>
          </w:tcPr>
          <w:p w14:paraId="1ADB2267"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526,000.00</w:t>
            </w:r>
          </w:p>
        </w:tc>
        <w:tc>
          <w:tcPr>
            <w:tcW w:w="2544" w:type="dxa"/>
          </w:tcPr>
          <w:p w14:paraId="63C3844F" w14:textId="77777777" w:rsidR="00A8332E" w:rsidRPr="00824BC0" w:rsidRDefault="00A8332E" w:rsidP="00A8332E">
            <w:pPr>
              <w:jc w:val="both"/>
              <w:rPr>
                <w:rFonts w:ascii="Times New Roman" w:hAnsi="Times New Roman" w:cs="Times New Roman"/>
                <w:sz w:val="24"/>
                <w:szCs w:val="24"/>
              </w:rPr>
            </w:pPr>
            <w:r w:rsidRPr="00824BC0">
              <w:rPr>
                <w:rFonts w:ascii="Times New Roman" w:hAnsi="Times New Roman" w:cs="Times New Roman"/>
                <w:sz w:val="24"/>
                <w:szCs w:val="24"/>
              </w:rPr>
              <w:t xml:space="preserve">Armchairs, whiteboard, teachers’ tables and chairs, ceiling and wall fans, stainless steel tables and high stool chairs </w:t>
            </w:r>
          </w:p>
        </w:tc>
      </w:tr>
      <w:tr w:rsidR="00A8332E" w:rsidRPr="00824BC0" w14:paraId="376959A4" w14:textId="77777777" w:rsidTr="00FB4E63">
        <w:tc>
          <w:tcPr>
            <w:tcW w:w="1993" w:type="dxa"/>
          </w:tcPr>
          <w:p w14:paraId="4A9CA0DA" w14:textId="77777777" w:rsidR="00A8332E" w:rsidRPr="00824BC0" w:rsidRDefault="00A8332E" w:rsidP="00A8332E">
            <w:pPr>
              <w:rPr>
                <w:rFonts w:ascii="Times New Roman" w:hAnsi="Times New Roman" w:cs="Times New Roman"/>
                <w:sz w:val="24"/>
                <w:szCs w:val="24"/>
              </w:rPr>
            </w:pPr>
            <w:r w:rsidRPr="00824BC0">
              <w:rPr>
                <w:rFonts w:ascii="Times New Roman" w:hAnsi="Times New Roman" w:cs="Times New Roman"/>
                <w:sz w:val="24"/>
                <w:szCs w:val="24"/>
              </w:rPr>
              <w:t xml:space="preserve">2-Storey Information and Technology Building </w:t>
            </w:r>
          </w:p>
        </w:tc>
        <w:tc>
          <w:tcPr>
            <w:tcW w:w="1993" w:type="dxa"/>
          </w:tcPr>
          <w:p w14:paraId="75D39825"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16,983,338.65</w:t>
            </w:r>
          </w:p>
        </w:tc>
        <w:tc>
          <w:tcPr>
            <w:tcW w:w="2105" w:type="dxa"/>
          </w:tcPr>
          <w:p w14:paraId="5180B22F"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442,200.00</w:t>
            </w:r>
          </w:p>
        </w:tc>
        <w:tc>
          <w:tcPr>
            <w:tcW w:w="2544" w:type="dxa"/>
          </w:tcPr>
          <w:p w14:paraId="5140A0E5" w14:textId="77777777" w:rsidR="00A8332E" w:rsidRPr="00824BC0" w:rsidRDefault="00A8332E" w:rsidP="00A8332E">
            <w:pPr>
              <w:jc w:val="both"/>
              <w:rPr>
                <w:rFonts w:ascii="Times New Roman" w:hAnsi="Times New Roman" w:cs="Times New Roman"/>
                <w:sz w:val="24"/>
                <w:szCs w:val="24"/>
              </w:rPr>
            </w:pPr>
            <w:r w:rsidRPr="00824BC0">
              <w:rPr>
                <w:rFonts w:ascii="Times New Roman" w:hAnsi="Times New Roman" w:cs="Times New Roman"/>
                <w:sz w:val="24"/>
                <w:szCs w:val="24"/>
              </w:rPr>
              <w:t xml:space="preserve">Whiteboard, aluminum chairs, teachers’ tables and chairs, and ceiling fans </w:t>
            </w:r>
          </w:p>
        </w:tc>
      </w:tr>
      <w:tr w:rsidR="00A8332E" w:rsidRPr="00824BC0" w14:paraId="2A45422B" w14:textId="77777777" w:rsidTr="00FB4E63">
        <w:tc>
          <w:tcPr>
            <w:tcW w:w="1993" w:type="dxa"/>
          </w:tcPr>
          <w:p w14:paraId="5FA0CA5C" w14:textId="77777777" w:rsidR="00A8332E" w:rsidRPr="00824BC0" w:rsidRDefault="00A8332E" w:rsidP="00A8332E">
            <w:pPr>
              <w:rPr>
                <w:rFonts w:ascii="Times New Roman" w:hAnsi="Times New Roman" w:cs="Times New Roman"/>
                <w:b/>
                <w:bCs/>
                <w:sz w:val="24"/>
                <w:szCs w:val="24"/>
              </w:rPr>
            </w:pPr>
            <w:r w:rsidRPr="00824BC0">
              <w:rPr>
                <w:rFonts w:ascii="Times New Roman" w:hAnsi="Times New Roman" w:cs="Times New Roman"/>
                <w:b/>
                <w:bCs/>
                <w:sz w:val="24"/>
                <w:szCs w:val="24"/>
              </w:rPr>
              <w:t>TOTAL</w:t>
            </w:r>
          </w:p>
        </w:tc>
        <w:tc>
          <w:tcPr>
            <w:tcW w:w="1993" w:type="dxa"/>
          </w:tcPr>
          <w:p w14:paraId="368006D6" w14:textId="77777777" w:rsidR="00A8332E" w:rsidRPr="00824BC0" w:rsidRDefault="00A8332E" w:rsidP="00A8332E">
            <w:pPr>
              <w:jc w:val="right"/>
              <w:rPr>
                <w:rFonts w:ascii="Times New Roman" w:hAnsi="Times New Roman" w:cs="Times New Roman"/>
                <w:b/>
                <w:bCs/>
                <w:dstrike/>
                <w:sz w:val="24"/>
                <w:szCs w:val="24"/>
              </w:rPr>
            </w:pPr>
            <w:r w:rsidRPr="00824BC0">
              <w:rPr>
                <w:rFonts w:ascii="Times New Roman" w:hAnsi="Times New Roman" w:cs="Times New Roman"/>
                <w:b/>
                <w:sz w:val="24"/>
                <w:szCs w:val="24"/>
              </w:rPr>
              <w:t>₱</w:t>
            </w:r>
            <w:r w:rsidRPr="00824BC0">
              <w:rPr>
                <w:rFonts w:ascii="Times New Roman" w:hAnsi="Times New Roman" w:cs="Times New Roman"/>
                <w:b/>
                <w:bCs/>
                <w:sz w:val="24"/>
                <w:szCs w:val="24"/>
              </w:rPr>
              <w:t>86,958,194.36</w:t>
            </w:r>
          </w:p>
        </w:tc>
        <w:tc>
          <w:tcPr>
            <w:tcW w:w="2105" w:type="dxa"/>
          </w:tcPr>
          <w:p w14:paraId="68930A4B" w14:textId="77777777" w:rsidR="00A8332E" w:rsidRPr="00824BC0" w:rsidRDefault="00A8332E" w:rsidP="00A8332E">
            <w:pPr>
              <w:jc w:val="right"/>
              <w:rPr>
                <w:rFonts w:ascii="Times New Roman" w:hAnsi="Times New Roman" w:cs="Times New Roman"/>
                <w:b/>
                <w:bCs/>
                <w:sz w:val="24"/>
                <w:szCs w:val="24"/>
              </w:rPr>
            </w:pPr>
            <w:r w:rsidRPr="00824BC0">
              <w:rPr>
                <w:rFonts w:ascii="Times New Roman" w:hAnsi="Times New Roman" w:cs="Times New Roman"/>
                <w:b/>
                <w:sz w:val="24"/>
                <w:szCs w:val="24"/>
              </w:rPr>
              <w:t>₱</w:t>
            </w:r>
            <w:r w:rsidRPr="00824BC0">
              <w:rPr>
                <w:rFonts w:ascii="Times New Roman" w:hAnsi="Times New Roman" w:cs="Times New Roman"/>
                <w:b/>
                <w:bCs/>
                <w:sz w:val="24"/>
                <w:szCs w:val="24"/>
              </w:rPr>
              <w:t>2,158,600.00</w:t>
            </w:r>
          </w:p>
        </w:tc>
        <w:tc>
          <w:tcPr>
            <w:tcW w:w="2544" w:type="dxa"/>
          </w:tcPr>
          <w:p w14:paraId="6BFED52E" w14:textId="77777777" w:rsidR="00A8332E" w:rsidRPr="00824BC0" w:rsidRDefault="00A8332E" w:rsidP="00A8332E">
            <w:pPr>
              <w:rPr>
                <w:rFonts w:ascii="Times New Roman" w:hAnsi="Times New Roman" w:cs="Times New Roman"/>
                <w:b/>
                <w:bCs/>
                <w:sz w:val="24"/>
                <w:szCs w:val="24"/>
              </w:rPr>
            </w:pPr>
          </w:p>
        </w:tc>
      </w:tr>
    </w:tbl>
    <w:p w14:paraId="3E083A39" w14:textId="77777777" w:rsidR="00A8332E" w:rsidRPr="00824BC0" w:rsidRDefault="00A8332E" w:rsidP="00A8332E">
      <w:pPr>
        <w:spacing w:after="0" w:line="240" w:lineRule="auto"/>
        <w:jc w:val="both"/>
        <w:rPr>
          <w:rFonts w:ascii="Times New Roman" w:hAnsi="Times New Roman" w:cs="Times New Roman"/>
          <w:i/>
          <w:iCs/>
          <w:sz w:val="24"/>
          <w:szCs w:val="24"/>
        </w:rPr>
      </w:pPr>
      <w:r w:rsidRPr="00824BC0">
        <w:rPr>
          <w:rFonts w:ascii="Times New Roman" w:hAnsi="Times New Roman" w:cs="Times New Roman"/>
          <w:i/>
          <w:iCs/>
          <w:sz w:val="24"/>
          <w:szCs w:val="24"/>
        </w:rPr>
        <w:t xml:space="preserve">*The semi-expendable properties are itemized in Appendix A. </w:t>
      </w:r>
    </w:p>
    <w:p w14:paraId="5CAE64F0" w14:textId="77777777" w:rsidR="00A8332E" w:rsidRPr="00824BC0" w:rsidRDefault="00A8332E" w:rsidP="00A8332E">
      <w:pPr>
        <w:spacing w:after="0" w:line="240" w:lineRule="auto"/>
        <w:jc w:val="both"/>
        <w:rPr>
          <w:rFonts w:ascii="Times New Roman" w:hAnsi="Times New Roman" w:cs="Times New Roman"/>
          <w:i/>
          <w:iCs/>
          <w:sz w:val="24"/>
          <w:szCs w:val="24"/>
        </w:rPr>
      </w:pPr>
    </w:p>
    <w:p w14:paraId="296328ED" w14:textId="0B784F9D" w:rsidR="00A8332E" w:rsidRPr="00824BC0" w:rsidRDefault="00A8332E" w:rsidP="00A8332E">
      <w:pPr>
        <w:pStyle w:val="ListParagraph"/>
        <w:numPr>
          <w:ilvl w:val="1"/>
          <w:numId w:val="5"/>
        </w:numPr>
        <w:ind w:left="0" w:firstLine="0"/>
        <w:jc w:val="both"/>
        <w:rPr>
          <w:szCs w:val="24"/>
        </w:rPr>
      </w:pPr>
      <w:r w:rsidRPr="00824BC0">
        <w:rPr>
          <w:szCs w:val="24"/>
        </w:rPr>
        <w:t xml:space="preserve">Scrutiny of the Detailed Estimates prepared by the College Engineer revealed that the abovementioned properties were </w:t>
      </w:r>
      <w:r w:rsidR="00A01080" w:rsidRPr="00824BC0">
        <w:rPr>
          <w:szCs w:val="24"/>
        </w:rPr>
        <w:t>included</w:t>
      </w:r>
      <w:r w:rsidRPr="00824BC0">
        <w:rPr>
          <w:szCs w:val="24"/>
        </w:rPr>
        <w:t xml:space="preserve"> in the total cost of each building as Miscellaneous Items.</w:t>
      </w:r>
    </w:p>
    <w:p w14:paraId="5C25C87D" w14:textId="77777777" w:rsidR="00A8332E" w:rsidRPr="00824BC0" w:rsidRDefault="00A8332E" w:rsidP="00A8332E">
      <w:pPr>
        <w:spacing w:after="0" w:line="240" w:lineRule="auto"/>
        <w:jc w:val="both"/>
        <w:rPr>
          <w:rFonts w:ascii="Times New Roman" w:hAnsi="Times New Roman" w:cs="Times New Roman"/>
          <w:sz w:val="24"/>
          <w:szCs w:val="24"/>
        </w:rPr>
      </w:pPr>
    </w:p>
    <w:p w14:paraId="30894CB0" w14:textId="4F3C85DB" w:rsidR="00A8332E" w:rsidRPr="00824BC0" w:rsidRDefault="00A8332E" w:rsidP="00A8332E">
      <w:pPr>
        <w:pStyle w:val="ListParagraph"/>
        <w:numPr>
          <w:ilvl w:val="1"/>
          <w:numId w:val="5"/>
        </w:numPr>
        <w:ind w:left="0" w:firstLine="0"/>
        <w:jc w:val="both"/>
        <w:rPr>
          <w:szCs w:val="24"/>
        </w:rPr>
      </w:pPr>
      <w:r w:rsidRPr="00824BC0">
        <w:rPr>
          <w:szCs w:val="24"/>
        </w:rPr>
        <w:t xml:space="preserve">Upon completion and turnover of the infrastructure, the Accountant recorded the total cost of the project under the same PPE account, Buildings and Other Structures, </w:t>
      </w:r>
      <w:r w:rsidR="00A01080" w:rsidRPr="00824BC0">
        <w:rPr>
          <w:szCs w:val="24"/>
        </w:rPr>
        <w:t xml:space="preserve">inclusive of </w:t>
      </w:r>
      <w:r w:rsidRPr="00824BC0">
        <w:rPr>
          <w:szCs w:val="24"/>
        </w:rPr>
        <w:t xml:space="preserve">the costs that were not directly attributable to </w:t>
      </w:r>
      <w:r w:rsidR="00A01080" w:rsidRPr="00824BC0">
        <w:rPr>
          <w:szCs w:val="24"/>
        </w:rPr>
        <w:t>the</w:t>
      </w:r>
      <w:r w:rsidRPr="00824BC0">
        <w:rPr>
          <w:szCs w:val="24"/>
        </w:rPr>
        <w:t xml:space="preserve"> construction</w:t>
      </w:r>
      <w:r w:rsidR="00A01080" w:rsidRPr="00824BC0">
        <w:rPr>
          <w:szCs w:val="24"/>
        </w:rPr>
        <w:t xml:space="preserve"> thereof. </w:t>
      </w:r>
      <w:r w:rsidRPr="00824BC0">
        <w:rPr>
          <w:szCs w:val="24"/>
        </w:rPr>
        <w:t xml:space="preserve"> </w:t>
      </w:r>
    </w:p>
    <w:p w14:paraId="1E4FB748" w14:textId="77777777" w:rsidR="00A8332E" w:rsidRPr="00824BC0" w:rsidRDefault="00A8332E" w:rsidP="00A8332E">
      <w:pPr>
        <w:spacing w:after="0" w:line="240" w:lineRule="auto"/>
        <w:jc w:val="both"/>
        <w:rPr>
          <w:rFonts w:ascii="Times New Roman" w:hAnsi="Times New Roman" w:cs="Times New Roman"/>
          <w:sz w:val="24"/>
          <w:szCs w:val="24"/>
        </w:rPr>
      </w:pPr>
    </w:p>
    <w:p w14:paraId="73371999" w14:textId="1C98DA49" w:rsidR="00A8332E" w:rsidRPr="00824BC0" w:rsidRDefault="00A8332E" w:rsidP="00A8332E">
      <w:pPr>
        <w:pStyle w:val="ListParagraph"/>
        <w:numPr>
          <w:ilvl w:val="1"/>
          <w:numId w:val="5"/>
        </w:numPr>
        <w:ind w:left="0" w:firstLine="0"/>
        <w:jc w:val="both"/>
        <w:rPr>
          <w:szCs w:val="24"/>
        </w:rPr>
      </w:pPr>
      <w:r w:rsidRPr="00824BC0">
        <w:rPr>
          <w:szCs w:val="24"/>
        </w:rPr>
        <w:t>Other than Office Equipment, majority of the items are non-capitalizable which qualify</w:t>
      </w:r>
      <w:r w:rsidR="00A01080" w:rsidRPr="00824BC0">
        <w:rPr>
          <w:szCs w:val="24"/>
        </w:rPr>
        <w:t xml:space="preserve"> more</w:t>
      </w:r>
      <w:r w:rsidRPr="00824BC0">
        <w:rPr>
          <w:szCs w:val="24"/>
        </w:rPr>
        <w:t xml:space="preserve"> as semi-expendable properties.  As such, reclassification to the appropriate account must be made in accordance with Section 2.1., Department of Budget and Management (DBM) Circular Letter No. 2016-7 dated July 20, 2016, viz:</w:t>
      </w:r>
    </w:p>
    <w:p w14:paraId="23DDF79F" w14:textId="77777777" w:rsidR="00A8332E" w:rsidRPr="00824BC0" w:rsidRDefault="00A8332E" w:rsidP="00A8332E">
      <w:pPr>
        <w:spacing w:after="0" w:line="240" w:lineRule="auto"/>
        <w:jc w:val="both"/>
        <w:rPr>
          <w:rFonts w:ascii="Times New Roman" w:hAnsi="Times New Roman" w:cs="Times New Roman"/>
          <w:sz w:val="24"/>
          <w:szCs w:val="24"/>
        </w:rPr>
      </w:pPr>
    </w:p>
    <w:p w14:paraId="15715E1D" w14:textId="77777777" w:rsidR="00A8332E" w:rsidRPr="00824BC0" w:rsidRDefault="00A8332E" w:rsidP="000D6661">
      <w:pPr>
        <w:spacing w:after="0" w:line="240" w:lineRule="auto"/>
        <w:ind w:left="720" w:right="1080"/>
        <w:jc w:val="both"/>
        <w:rPr>
          <w:rFonts w:ascii="Times New Roman" w:hAnsi="Times New Roman" w:cs="Times New Roman"/>
          <w:i/>
          <w:iCs/>
          <w:sz w:val="24"/>
          <w:szCs w:val="24"/>
        </w:rPr>
      </w:pPr>
      <w:r w:rsidRPr="00824BC0">
        <w:rPr>
          <w:rFonts w:ascii="Times New Roman" w:hAnsi="Times New Roman" w:cs="Times New Roman"/>
          <w:i/>
          <w:iCs/>
          <w:sz w:val="24"/>
          <w:szCs w:val="24"/>
        </w:rPr>
        <w:t xml:space="preserve">Tangible items below the capitalization threshold of </w:t>
      </w:r>
      <w:r w:rsidRPr="00824BC0">
        <w:rPr>
          <w:rFonts w:ascii="Times New Roman" w:hAnsi="Times New Roman" w:cs="Times New Roman"/>
          <w:i/>
          <w:sz w:val="24"/>
          <w:szCs w:val="24"/>
        </w:rPr>
        <w:t>₱</w:t>
      </w:r>
      <w:r w:rsidRPr="00824BC0">
        <w:rPr>
          <w:rFonts w:ascii="Times New Roman" w:hAnsi="Times New Roman" w:cs="Times New Roman"/>
          <w:i/>
          <w:iCs/>
          <w:sz w:val="24"/>
          <w:szCs w:val="24"/>
        </w:rPr>
        <w:t>15,000.00 shall be accounted as semi-expendable property. The following policies shall apply:</w:t>
      </w:r>
    </w:p>
    <w:p w14:paraId="39343FB9" w14:textId="77777777" w:rsidR="00A8332E" w:rsidRPr="00824BC0" w:rsidRDefault="00A8332E" w:rsidP="000D6661">
      <w:pPr>
        <w:spacing w:after="0" w:line="240" w:lineRule="auto"/>
        <w:ind w:left="720" w:right="1080"/>
        <w:jc w:val="both"/>
        <w:rPr>
          <w:rFonts w:ascii="Times New Roman" w:hAnsi="Times New Roman" w:cs="Times New Roman"/>
          <w:i/>
          <w:iCs/>
          <w:sz w:val="24"/>
          <w:szCs w:val="24"/>
        </w:rPr>
      </w:pPr>
    </w:p>
    <w:p w14:paraId="247D7719" w14:textId="77777777" w:rsidR="00A8332E" w:rsidRPr="00824BC0" w:rsidRDefault="00A8332E" w:rsidP="000D6661">
      <w:pPr>
        <w:spacing w:after="0" w:line="240" w:lineRule="auto"/>
        <w:ind w:left="720" w:right="1080"/>
        <w:jc w:val="both"/>
        <w:rPr>
          <w:rFonts w:ascii="Times New Roman" w:hAnsi="Times New Roman" w:cs="Times New Roman"/>
          <w:i/>
          <w:iCs/>
          <w:sz w:val="24"/>
          <w:szCs w:val="24"/>
        </w:rPr>
      </w:pPr>
      <w:r w:rsidRPr="00824BC0">
        <w:rPr>
          <w:rFonts w:ascii="Times New Roman" w:hAnsi="Times New Roman" w:cs="Times New Roman"/>
          <w:i/>
          <w:iCs/>
          <w:sz w:val="24"/>
          <w:szCs w:val="24"/>
        </w:rPr>
        <w:t xml:space="preserve">2.1.1. Semi-expendable property which were recognized as Property, Plant and Equipment shall be reclassified to the affected accounts. </w:t>
      </w:r>
    </w:p>
    <w:p w14:paraId="7C4EBA38" w14:textId="77777777" w:rsidR="00A8332E" w:rsidRPr="00824BC0" w:rsidRDefault="00A8332E" w:rsidP="000D6661">
      <w:pPr>
        <w:spacing w:after="0" w:line="240" w:lineRule="auto"/>
        <w:ind w:left="720" w:right="1080"/>
        <w:jc w:val="both"/>
        <w:rPr>
          <w:rFonts w:ascii="Times New Roman" w:hAnsi="Times New Roman" w:cs="Times New Roman"/>
          <w:i/>
          <w:iCs/>
          <w:sz w:val="24"/>
          <w:szCs w:val="24"/>
        </w:rPr>
      </w:pPr>
    </w:p>
    <w:p w14:paraId="734AE2C3" w14:textId="05A868D9" w:rsidR="00A8332E" w:rsidRPr="00824BC0" w:rsidRDefault="00A8332E" w:rsidP="000D6661">
      <w:pPr>
        <w:spacing w:after="0" w:line="240" w:lineRule="auto"/>
        <w:ind w:left="720" w:right="1080"/>
        <w:jc w:val="both"/>
        <w:rPr>
          <w:rFonts w:ascii="Times New Roman" w:hAnsi="Times New Roman" w:cs="Times New Roman"/>
          <w:i/>
          <w:iCs/>
          <w:sz w:val="24"/>
          <w:szCs w:val="24"/>
        </w:rPr>
      </w:pPr>
      <w:r w:rsidRPr="00824BC0">
        <w:rPr>
          <w:rFonts w:ascii="Times New Roman" w:hAnsi="Times New Roman" w:cs="Times New Roman"/>
          <w:i/>
          <w:iCs/>
          <w:sz w:val="24"/>
          <w:szCs w:val="24"/>
        </w:rPr>
        <w:t>2.1.2. These tangible items shall be recognized as expenses upon issue to the end-user.</w:t>
      </w:r>
    </w:p>
    <w:p w14:paraId="28CB1238" w14:textId="77777777" w:rsidR="00362BDC" w:rsidRPr="00824BC0" w:rsidRDefault="00362BDC" w:rsidP="00362BDC">
      <w:pPr>
        <w:spacing w:after="0" w:line="240" w:lineRule="auto"/>
        <w:ind w:left="720" w:right="720"/>
        <w:jc w:val="both"/>
        <w:rPr>
          <w:rFonts w:ascii="Times New Roman" w:hAnsi="Times New Roman" w:cs="Times New Roman"/>
          <w:i/>
          <w:iCs/>
          <w:sz w:val="24"/>
          <w:szCs w:val="24"/>
        </w:rPr>
      </w:pPr>
    </w:p>
    <w:p w14:paraId="1AEA4CC0" w14:textId="77777777" w:rsidR="00A8332E" w:rsidRPr="00824BC0" w:rsidRDefault="00A8332E" w:rsidP="00A8332E">
      <w:pPr>
        <w:pStyle w:val="ListParagraph"/>
        <w:numPr>
          <w:ilvl w:val="1"/>
          <w:numId w:val="5"/>
        </w:numPr>
        <w:ind w:left="0" w:firstLine="0"/>
        <w:jc w:val="both"/>
        <w:rPr>
          <w:szCs w:val="24"/>
        </w:rPr>
      </w:pPr>
      <w:r w:rsidRPr="00824BC0">
        <w:rPr>
          <w:szCs w:val="24"/>
        </w:rPr>
        <w:t xml:space="preserve">The Audit Team also noted that the semi-expendable properties were included in the computation of the depreciation expense. </w:t>
      </w:r>
    </w:p>
    <w:p w14:paraId="298F299C" w14:textId="77777777" w:rsidR="00A8332E" w:rsidRPr="00824BC0" w:rsidRDefault="00A8332E" w:rsidP="00A8332E">
      <w:pPr>
        <w:spacing w:after="0" w:line="240" w:lineRule="auto"/>
        <w:ind w:firstLine="720"/>
        <w:jc w:val="both"/>
        <w:rPr>
          <w:rFonts w:ascii="Times New Roman" w:hAnsi="Times New Roman" w:cs="Times New Roman"/>
          <w:sz w:val="24"/>
          <w:szCs w:val="24"/>
        </w:rPr>
      </w:pPr>
    </w:p>
    <w:p w14:paraId="743C0090" w14:textId="40EE0A98" w:rsidR="00A8332E" w:rsidRPr="00824BC0" w:rsidRDefault="00A8332E" w:rsidP="00A8332E">
      <w:pPr>
        <w:pStyle w:val="ListParagraph"/>
        <w:numPr>
          <w:ilvl w:val="1"/>
          <w:numId w:val="5"/>
        </w:numPr>
        <w:ind w:left="0" w:firstLine="0"/>
        <w:jc w:val="both"/>
        <w:rPr>
          <w:szCs w:val="24"/>
        </w:rPr>
      </w:pPr>
      <w:r w:rsidRPr="00824BC0">
        <w:rPr>
          <w:szCs w:val="24"/>
        </w:rPr>
        <w:lastRenderedPageBreak/>
        <w:t xml:space="preserve">The failure of the Accountant to recognize the semi-expendable properties and properly adjust the other affected accounts resulted </w:t>
      </w:r>
      <w:r w:rsidR="00A01080" w:rsidRPr="00824BC0">
        <w:rPr>
          <w:szCs w:val="24"/>
        </w:rPr>
        <w:t>in</w:t>
      </w:r>
      <w:r w:rsidRPr="00824BC0">
        <w:rPr>
          <w:szCs w:val="24"/>
        </w:rPr>
        <w:t xml:space="preserve"> the overstatement </w:t>
      </w:r>
      <w:r w:rsidR="00A01080" w:rsidRPr="00824BC0">
        <w:rPr>
          <w:szCs w:val="24"/>
        </w:rPr>
        <w:t xml:space="preserve">by ₱2,158,600.00 in </w:t>
      </w:r>
      <w:r w:rsidRPr="00824BC0">
        <w:rPr>
          <w:szCs w:val="24"/>
        </w:rPr>
        <w:t>the Buildings and Other Structures account reported in the financial statements (FS) as of December 31, 202</w:t>
      </w:r>
      <w:r w:rsidR="00A01080" w:rsidRPr="00824BC0">
        <w:rPr>
          <w:szCs w:val="24"/>
        </w:rPr>
        <w:t>1</w:t>
      </w:r>
      <w:r w:rsidRPr="00824BC0">
        <w:rPr>
          <w:szCs w:val="24"/>
        </w:rPr>
        <w:t>. Con</w:t>
      </w:r>
      <w:r w:rsidR="00A01080" w:rsidRPr="00824BC0">
        <w:rPr>
          <w:szCs w:val="24"/>
        </w:rPr>
        <w:t>versely</w:t>
      </w:r>
      <w:r w:rsidRPr="00824BC0">
        <w:rPr>
          <w:szCs w:val="24"/>
        </w:rPr>
        <w:t xml:space="preserve">, Accumulated Surplus and Accumulated Depreciation Expense accounts were understated by ₱916,260.89. (Appendix </w:t>
      </w:r>
      <w:r w:rsidR="00362BDC" w:rsidRPr="00824BC0">
        <w:rPr>
          <w:szCs w:val="24"/>
        </w:rPr>
        <w:t>B</w:t>
      </w:r>
      <w:r w:rsidRPr="00824BC0">
        <w:rPr>
          <w:szCs w:val="24"/>
        </w:rPr>
        <w:t>)</w:t>
      </w:r>
    </w:p>
    <w:p w14:paraId="3CEE8BAC" w14:textId="77777777" w:rsidR="00A8332E" w:rsidRPr="00824BC0" w:rsidRDefault="00A8332E" w:rsidP="00A8332E">
      <w:pPr>
        <w:spacing w:after="0" w:line="240" w:lineRule="auto"/>
        <w:jc w:val="both"/>
        <w:rPr>
          <w:rFonts w:ascii="Times New Roman" w:hAnsi="Times New Roman" w:cs="Times New Roman"/>
          <w:sz w:val="24"/>
          <w:szCs w:val="24"/>
        </w:rPr>
      </w:pPr>
    </w:p>
    <w:p w14:paraId="26712CF6" w14:textId="6F3B16C4" w:rsidR="00A8332E" w:rsidRPr="00824BC0" w:rsidRDefault="00A8332E" w:rsidP="00A8332E">
      <w:pPr>
        <w:pStyle w:val="ListParagraph"/>
        <w:numPr>
          <w:ilvl w:val="1"/>
          <w:numId w:val="5"/>
        </w:numPr>
        <w:ind w:left="0" w:firstLine="0"/>
        <w:jc w:val="both"/>
        <w:rPr>
          <w:szCs w:val="24"/>
        </w:rPr>
      </w:pPr>
      <w:r w:rsidRPr="00824BC0">
        <w:rPr>
          <w:szCs w:val="24"/>
        </w:rPr>
        <w:t>Considering the above circumstances, the following adjusting journal entries</w:t>
      </w:r>
      <w:r w:rsidR="00A01080" w:rsidRPr="00824BC0">
        <w:rPr>
          <w:szCs w:val="24"/>
        </w:rPr>
        <w:t xml:space="preserve"> should have been taken up</w:t>
      </w:r>
      <w:r w:rsidRPr="00824BC0">
        <w:rPr>
          <w:szCs w:val="24"/>
        </w:rPr>
        <w:t>:</w:t>
      </w:r>
    </w:p>
    <w:p w14:paraId="5ED6AD49" w14:textId="77777777" w:rsidR="00A8332E" w:rsidRPr="00824BC0" w:rsidRDefault="00A8332E" w:rsidP="00A8332E">
      <w:pPr>
        <w:spacing w:after="0" w:line="240" w:lineRule="auto"/>
        <w:jc w:val="both"/>
        <w:rPr>
          <w:rFonts w:ascii="Times New Roman" w:hAnsi="Times New Roman" w:cs="Times New Roman"/>
          <w:sz w:val="24"/>
          <w:szCs w:val="24"/>
        </w:rPr>
      </w:pPr>
      <w:r w:rsidRPr="00824BC0">
        <w:rPr>
          <w:rFonts w:ascii="Times New Roman" w:hAnsi="Times New Roman" w:cs="Times New Roman"/>
          <w:sz w:val="24"/>
          <w:szCs w:val="24"/>
        </w:rPr>
        <w:tab/>
      </w:r>
    </w:p>
    <w:tbl>
      <w:tblPr>
        <w:tblStyle w:val="TableGrid"/>
        <w:tblW w:w="7359"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1430"/>
        <w:gridCol w:w="248"/>
        <w:gridCol w:w="1435"/>
      </w:tblGrid>
      <w:tr w:rsidR="00A8332E" w:rsidRPr="00824BC0" w14:paraId="1DBEF73F" w14:textId="77777777" w:rsidTr="002747FB">
        <w:trPr>
          <w:tblHeader/>
        </w:trPr>
        <w:tc>
          <w:tcPr>
            <w:tcW w:w="4246" w:type="dxa"/>
          </w:tcPr>
          <w:p w14:paraId="6CC2B424" w14:textId="77777777" w:rsidR="00A8332E" w:rsidRPr="00824BC0" w:rsidRDefault="00A8332E" w:rsidP="00A8332E">
            <w:pPr>
              <w:rPr>
                <w:rFonts w:ascii="Times New Roman" w:hAnsi="Times New Roman" w:cs="Times New Roman"/>
                <w:sz w:val="24"/>
                <w:szCs w:val="24"/>
              </w:rPr>
            </w:pPr>
          </w:p>
        </w:tc>
        <w:tc>
          <w:tcPr>
            <w:tcW w:w="1430" w:type="dxa"/>
          </w:tcPr>
          <w:p w14:paraId="0485B521" w14:textId="77777777" w:rsidR="00A8332E" w:rsidRPr="00824BC0" w:rsidRDefault="00A8332E" w:rsidP="00A8332E">
            <w:pPr>
              <w:jc w:val="center"/>
              <w:rPr>
                <w:rFonts w:ascii="Times New Roman" w:hAnsi="Times New Roman" w:cs="Times New Roman"/>
                <w:b/>
                <w:bCs/>
                <w:sz w:val="24"/>
                <w:szCs w:val="24"/>
              </w:rPr>
            </w:pPr>
            <w:r w:rsidRPr="00824BC0">
              <w:rPr>
                <w:rFonts w:ascii="Times New Roman" w:hAnsi="Times New Roman" w:cs="Times New Roman"/>
                <w:b/>
                <w:bCs/>
                <w:sz w:val="24"/>
                <w:szCs w:val="24"/>
              </w:rPr>
              <w:t>Debit</w:t>
            </w:r>
          </w:p>
        </w:tc>
        <w:tc>
          <w:tcPr>
            <w:tcW w:w="248" w:type="dxa"/>
          </w:tcPr>
          <w:p w14:paraId="188263C5" w14:textId="77777777" w:rsidR="00A8332E" w:rsidRPr="00824BC0" w:rsidRDefault="00A8332E" w:rsidP="00A8332E">
            <w:pPr>
              <w:jc w:val="center"/>
              <w:rPr>
                <w:rFonts w:ascii="Times New Roman" w:hAnsi="Times New Roman" w:cs="Times New Roman"/>
                <w:b/>
                <w:bCs/>
                <w:sz w:val="24"/>
                <w:szCs w:val="24"/>
              </w:rPr>
            </w:pPr>
          </w:p>
        </w:tc>
        <w:tc>
          <w:tcPr>
            <w:tcW w:w="1435" w:type="dxa"/>
          </w:tcPr>
          <w:p w14:paraId="5D3A398E" w14:textId="77777777" w:rsidR="00A8332E" w:rsidRPr="00824BC0" w:rsidRDefault="00A8332E" w:rsidP="00A8332E">
            <w:pPr>
              <w:jc w:val="center"/>
              <w:rPr>
                <w:rFonts w:ascii="Times New Roman" w:hAnsi="Times New Roman" w:cs="Times New Roman"/>
                <w:b/>
                <w:bCs/>
                <w:sz w:val="24"/>
                <w:szCs w:val="24"/>
              </w:rPr>
            </w:pPr>
            <w:r w:rsidRPr="00824BC0">
              <w:rPr>
                <w:rFonts w:ascii="Times New Roman" w:hAnsi="Times New Roman" w:cs="Times New Roman"/>
                <w:b/>
                <w:bCs/>
                <w:sz w:val="24"/>
                <w:szCs w:val="24"/>
              </w:rPr>
              <w:t>Credit</w:t>
            </w:r>
          </w:p>
        </w:tc>
      </w:tr>
      <w:tr w:rsidR="00A8332E" w:rsidRPr="00824BC0" w14:paraId="568CFD02" w14:textId="77777777" w:rsidTr="00362BDC">
        <w:tc>
          <w:tcPr>
            <w:tcW w:w="4246" w:type="dxa"/>
          </w:tcPr>
          <w:p w14:paraId="421FECA0" w14:textId="77777777" w:rsidR="00A8332E" w:rsidRPr="00824BC0" w:rsidRDefault="00A8332E" w:rsidP="00A8332E">
            <w:pPr>
              <w:rPr>
                <w:rFonts w:ascii="Times New Roman" w:hAnsi="Times New Roman" w:cs="Times New Roman"/>
                <w:sz w:val="24"/>
                <w:szCs w:val="24"/>
              </w:rPr>
            </w:pPr>
            <w:r w:rsidRPr="00824BC0">
              <w:rPr>
                <w:rFonts w:ascii="Times New Roman" w:hAnsi="Times New Roman" w:cs="Times New Roman"/>
                <w:sz w:val="24"/>
                <w:szCs w:val="24"/>
              </w:rPr>
              <w:t>Semi-Expendable Furniture and Fixtures</w:t>
            </w:r>
          </w:p>
        </w:tc>
        <w:tc>
          <w:tcPr>
            <w:tcW w:w="1430" w:type="dxa"/>
          </w:tcPr>
          <w:p w14:paraId="5DC58D91"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₱60,000.00</w:t>
            </w:r>
          </w:p>
        </w:tc>
        <w:tc>
          <w:tcPr>
            <w:tcW w:w="248" w:type="dxa"/>
          </w:tcPr>
          <w:p w14:paraId="7ED4CC8A" w14:textId="77777777" w:rsidR="00A8332E" w:rsidRPr="00824BC0" w:rsidRDefault="00A8332E" w:rsidP="00A8332E">
            <w:pPr>
              <w:jc w:val="right"/>
              <w:rPr>
                <w:rFonts w:ascii="Times New Roman" w:hAnsi="Times New Roman" w:cs="Times New Roman"/>
                <w:sz w:val="24"/>
                <w:szCs w:val="24"/>
              </w:rPr>
            </w:pPr>
          </w:p>
        </w:tc>
        <w:tc>
          <w:tcPr>
            <w:tcW w:w="1435" w:type="dxa"/>
          </w:tcPr>
          <w:p w14:paraId="44B7B44E" w14:textId="77777777" w:rsidR="00A8332E" w:rsidRPr="00824BC0" w:rsidRDefault="00A8332E" w:rsidP="00A8332E">
            <w:pPr>
              <w:jc w:val="right"/>
              <w:rPr>
                <w:rFonts w:ascii="Times New Roman" w:hAnsi="Times New Roman" w:cs="Times New Roman"/>
                <w:sz w:val="24"/>
                <w:szCs w:val="24"/>
              </w:rPr>
            </w:pPr>
          </w:p>
        </w:tc>
      </w:tr>
      <w:tr w:rsidR="00A8332E" w:rsidRPr="00824BC0" w14:paraId="39B1AA08" w14:textId="77777777" w:rsidTr="00362BDC">
        <w:tc>
          <w:tcPr>
            <w:tcW w:w="4246" w:type="dxa"/>
          </w:tcPr>
          <w:p w14:paraId="79D32C69" w14:textId="77777777" w:rsidR="00A8332E" w:rsidRPr="00824BC0" w:rsidRDefault="00A8332E" w:rsidP="00A8332E">
            <w:pPr>
              <w:jc w:val="both"/>
              <w:rPr>
                <w:rFonts w:ascii="Times New Roman" w:hAnsi="Times New Roman" w:cs="Times New Roman"/>
                <w:sz w:val="24"/>
                <w:szCs w:val="24"/>
              </w:rPr>
            </w:pPr>
            <w:r w:rsidRPr="00824BC0">
              <w:rPr>
                <w:rFonts w:ascii="Times New Roman" w:hAnsi="Times New Roman" w:cs="Times New Roman"/>
                <w:sz w:val="24"/>
                <w:szCs w:val="24"/>
              </w:rPr>
              <w:t xml:space="preserve">Semi-Expendable Office Equipment </w:t>
            </w:r>
            <w:r w:rsidRPr="00824BC0">
              <w:rPr>
                <w:rFonts w:ascii="Times New Roman" w:hAnsi="Times New Roman" w:cs="Times New Roman"/>
                <w:sz w:val="24"/>
                <w:szCs w:val="24"/>
              </w:rPr>
              <w:tab/>
            </w:r>
          </w:p>
        </w:tc>
        <w:tc>
          <w:tcPr>
            <w:tcW w:w="1430" w:type="dxa"/>
          </w:tcPr>
          <w:p w14:paraId="355BAD8F"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56,000.00</w:t>
            </w:r>
          </w:p>
        </w:tc>
        <w:tc>
          <w:tcPr>
            <w:tcW w:w="248" w:type="dxa"/>
          </w:tcPr>
          <w:p w14:paraId="191E12B4" w14:textId="77777777" w:rsidR="00A8332E" w:rsidRPr="00824BC0" w:rsidRDefault="00A8332E" w:rsidP="00A8332E">
            <w:pPr>
              <w:jc w:val="right"/>
              <w:rPr>
                <w:rFonts w:ascii="Times New Roman" w:hAnsi="Times New Roman" w:cs="Times New Roman"/>
                <w:sz w:val="24"/>
                <w:szCs w:val="24"/>
              </w:rPr>
            </w:pPr>
          </w:p>
        </w:tc>
        <w:tc>
          <w:tcPr>
            <w:tcW w:w="1435" w:type="dxa"/>
          </w:tcPr>
          <w:p w14:paraId="31C04F5E" w14:textId="77777777" w:rsidR="00A8332E" w:rsidRPr="00824BC0" w:rsidRDefault="00A8332E" w:rsidP="00A8332E">
            <w:pPr>
              <w:jc w:val="right"/>
              <w:rPr>
                <w:rFonts w:ascii="Times New Roman" w:hAnsi="Times New Roman" w:cs="Times New Roman"/>
                <w:sz w:val="24"/>
                <w:szCs w:val="24"/>
              </w:rPr>
            </w:pPr>
          </w:p>
        </w:tc>
      </w:tr>
      <w:tr w:rsidR="00A8332E" w:rsidRPr="00824BC0" w14:paraId="434AA053" w14:textId="77777777" w:rsidTr="00362BDC">
        <w:tc>
          <w:tcPr>
            <w:tcW w:w="4246" w:type="dxa"/>
          </w:tcPr>
          <w:p w14:paraId="6FD4C96C" w14:textId="77777777" w:rsidR="00A8332E" w:rsidRPr="00824BC0" w:rsidRDefault="00A8332E" w:rsidP="00A8332E">
            <w:pPr>
              <w:jc w:val="both"/>
              <w:rPr>
                <w:rFonts w:ascii="Times New Roman" w:hAnsi="Times New Roman" w:cs="Times New Roman"/>
                <w:sz w:val="24"/>
                <w:szCs w:val="24"/>
              </w:rPr>
            </w:pPr>
            <w:r w:rsidRPr="00824BC0">
              <w:rPr>
                <w:rFonts w:ascii="Times New Roman" w:hAnsi="Times New Roman" w:cs="Times New Roman"/>
                <w:sz w:val="24"/>
                <w:szCs w:val="24"/>
              </w:rPr>
              <w:t>Accumulated Depreciation</w:t>
            </w:r>
            <w:r w:rsidRPr="00824BC0">
              <w:rPr>
                <w:rFonts w:ascii="Times New Roman" w:hAnsi="Times New Roman" w:cs="Times New Roman"/>
                <w:sz w:val="24"/>
                <w:szCs w:val="24"/>
              </w:rPr>
              <w:tab/>
            </w:r>
          </w:p>
        </w:tc>
        <w:tc>
          <w:tcPr>
            <w:tcW w:w="1430" w:type="dxa"/>
          </w:tcPr>
          <w:p w14:paraId="5140303D"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11,020.04</w:t>
            </w:r>
          </w:p>
        </w:tc>
        <w:tc>
          <w:tcPr>
            <w:tcW w:w="248" w:type="dxa"/>
          </w:tcPr>
          <w:p w14:paraId="268785AE" w14:textId="77777777" w:rsidR="00A8332E" w:rsidRPr="00824BC0" w:rsidRDefault="00A8332E" w:rsidP="00A8332E">
            <w:pPr>
              <w:jc w:val="right"/>
              <w:rPr>
                <w:rFonts w:ascii="Times New Roman" w:hAnsi="Times New Roman" w:cs="Times New Roman"/>
                <w:sz w:val="24"/>
                <w:szCs w:val="24"/>
              </w:rPr>
            </w:pPr>
          </w:p>
        </w:tc>
        <w:tc>
          <w:tcPr>
            <w:tcW w:w="1435" w:type="dxa"/>
          </w:tcPr>
          <w:p w14:paraId="38201ECE" w14:textId="77777777" w:rsidR="00A8332E" w:rsidRPr="00824BC0" w:rsidRDefault="00A8332E" w:rsidP="00A8332E">
            <w:pPr>
              <w:jc w:val="right"/>
              <w:rPr>
                <w:rFonts w:ascii="Times New Roman" w:hAnsi="Times New Roman" w:cs="Times New Roman"/>
                <w:sz w:val="24"/>
                <w:szCs w:val="24"/>
              </w:rPr>
            </w:pPr>
          </w:p>
        </w:tc>
      </w:tr>
      <w:tr w:rsidR="00A8332E" w:rsidRPr="00824BC0" w14:paraId="7557B29B" w14:textId="77777777" w:rsidTr="00362BDC">
        <w:tc>
          <w:tcPr>
            <w:tcW w:w="4246" w:type="dxa"/>
          </w:tcPr>
          <w:p w14:paraId="20F561AD" w14:textId="77777777" w:rsidR="00A8332E" w:rsidRPr="00824BC0" w:rsidRDefault="00A8332E" w:rsidP="00A8332E">
            <w:pPr>
              <w:ind w:firstLine="1440"/>
              <w:rPr>
                <w:rFonts w:ascii="Times New Roman" w:hAnsi="Times New Roman" w:cs="Times New Roman"/>
                <w:sz w:val="24"/>
                <w:szCs w:val="24"/>
              </w:rPr>
            </w:pPr>
            <w:r w:rsidRPr="00824BC0">
              <w:rPr>
                <w:rFonts w:ascii="Times New Roman" w:hAnsi="Times New Roman" w:cs="Times New Roman"/>
                <w:sz w:val="24"/>
                <w:szCs w:val="24"/>
              </w:rPr>
              <w:t>Building</w:t>
            </w:r>
          </w:p>
        </w:tc>
        <w:tc>
          <w:tcPr>
            <w:tcW w:w="1430" w:type="dxa"/>
          </w:tcPr>
          <w:p w14:paraId="00B0F54E" w14:textId="77777777" w:rsidR="00A8332E" w:rsidRPr="00824BC0" w:rsidRDefault="00A8332E" w:rsidP="00A8332E">
            <w:pPr>
              <w:jc w:val="right"/>
              <w:rPr>
                <w:rFonts w:ascii="Times New Roman" w:hAnsi="Times New Roman" w:cs="Times New Roman"/>
                <w:sz w:val="24"/>
                <w:szCs w:val="24"/>
              </w:rPr>
            </w:pPr>
          </w:p>
        </w:tc>
        <w:tc>
          <w:tcPr>
            <w:tcW w:w="248" w:type="dxa"/>
          </w:tcPr>
          <w:p w14:paraId="1FBF6171" w14:textId="77777777" w:rsidR="00A8332E" w:rsidRPr="00824BC0" w:rsidRDefault="00A8332E" w:rsidP="00A8332E">
            <w:pPr>
              <w:jc w:val="right"/>
              <w:rPr>
                <w:rFonts w:ascii="Times New Roman" w:hAnsi="Times New Roman" w:cs="Times New Roman"/>
                <w:sz w:val="24"/>
                <w:szCs w:val="24"/>
              </w:rPr>
            </w:pPr>
          </w:p>
        </w:tc>
        <w:tc>
          <w:tcPr>
            <w:tcW w:w="1435" w:type="dxa"/>
          </w:tcPr>
          <w:p w14:paraId="0C09F70F"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₱116,000.00</w:t>
            </w:r>
          </w:p>
        </w:tc>
      </w:tr>
      <w:tr w:rsidR="00A8332E" w:rsidRPr="00824BC0" w14:paraId="3941D35F" w14:textId="77777777" w:rsidTr="00362BDC">
        <w:tc>
          <w:tcPr>
            <w:tcW w:w="4246" w:type="dxa"/>
          </w:tcPr>
          <w:p w14:paraId="406BD6B0" w14:textId="77777777" w:rsidR="00A8332E" w:rsidRPr="00824BC0" w:rsidRDefault="00A8332E" w:rsidP="00A8332E">
            <w:pPr>
              <w:ind w:firstLine="1440"/>
              <w:rPr>
                <w:rFonts w:ascii="Times New Roman" w:hAnsi="Times New Roman" w:cs="Times New Roman"/>
                <w:sz w:val="24"/>
                <w:szCs w:val="24"/>
              </w:rPr>
            </w:pPr>
            <w:r w:rsidRPr="00824BC0">
              <w:rPr>
                <w:rFonts w:ascii="Times New Roman" w:hAnsi="Times New Roman" w:cs="Times New Roman"/>
                <w:sz w:val="24"/>
                <w:szCs w:val="24"/>
              </w:rPr>
              <w:t>Accumulated Surplus</w:t>
            </w:r>
          </w:p>
        </w:tc>
        <w:tc>
          <w:tcPr>
            <w:tcW w:w="1430" w:type="dxa"/>
          </w:tcPr>
          <w:p w14:paraId="0417EF3D" w14:textId="77777777" w:rsidR="00A8332E" w:rsidRPr="00824BC0" w:rsidRDefault="00A8332E" w:rsidP="00A8332E">
            <w:pPr>
              <w:jc w:val="right"/>
              <w:rPr>
                <w:rFonts w:ascii="Times New Roman" w:hAnsi="Times New Roman" w:cs="Times New Roman"/>
                <w:sz w:val="24"/>
                <w:szCs w:val="24"/>
              </w:rPr>
            </w:pPr>
          </w:p>
        </w:tc>
        <w:tc>
          <w:tcPr>
            <w:tcW w:w="248" w:type="dxa"/>
          </w:tcPr>
          <w:p w14:paraId="2541ADB6" w14:textId="77777777" w:rsidR="00A8332E" w:rsidRPr="00824BC0" w:rsidRDefault="00A8332E" w:rsidP="00A8332E">
            <w:pPr>
              <w:jc w:val="right"/>
              <w:rPr>
                <w:rFonts w:ascii="Times New Roman" w:hAnsi="Times New Roman" w:cs="Times New Roman"/>
                <w:sz w:val="24"/>
                <w:szCs w:val="24"/>
              </w:rPr>
            </w:pPr>
          </w:p>
        </w:tc>
        <w:tc>
          <w:tcPr>
            <w:tcW w:w="1435" w:type="dxa"/>
          </w:tcPr>
          <w:p w14:paraId="63B1DB95"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11,020.04</w:t>
            </w:r>
          </w:p>
        </w:tc>
      </w:tr>
      <w:tr w:rsidR="00A8332E" w:rsidRPr="00824BC0" w14:paraId="743AB0E6" w14:textId="77777777" w:rsidTr="00742B6D">
        <w:trPr>
          <w:trHeight w:val="529"/>
        </w:trPr>
        <w:tc>
          <w:tcPr>
            <w:tcW w:w="7359" w:type="dxa"/>
            <w:gridSpan w:val="4"/>
          </w:tcPr>
          <w:p w14:paraId="2D56C119" w14:textId="77777777" w:rsidR="00A8332E" w:rsidRPr="00824BC0" w:rsidRDefault="00A8332E" w:rsidP="00A8332E">
            <w:pPr>
              <w:ind w:left="41" w:right="41"/>
              <w:jc w:val="both"/>
              <w:rPr>
                <w:rFonts w:ascii="Times New Roman" w:hAnsi="Times New Roman" w:cs="Times New Roman"/>
                <w:i/>
                <w:iCs/>
                <w:sz w:val="24"/>
                <w:szCs w:val="24"/>
              </w:rPr>
            </w:pPr>
            <w:r w:rsidRPr="00824BC0">
              <w:rPr>
                <w:rFonts w:ascii="Times New Roman" w:hAnsi="Times New Roman" w:cs="Times New Roman"/>
                <w:i/>
                <w:iCs/>
                <w:sz w:val="24"/>
                <w:szCs w:val="24"/>
              </w:rPr>
              <w:t>To record the adjustment on the cost of Building – College Library and its corresponding depreciation</w:t>
            </w:r>
          </w:p>
        </w:tc>
      </w:tr>
      <w:tr w:rsidR="00A8332E" w:rsidRPr="00824BC0" w14:paraId="79B9ED17" w14:textId="77777777" w:rsidTr="00362BDC">
        <w:tc>
          <w:tcPr>
            <w:tcW w:w="4246" w:type="dxa"/>
          </w:tcPr>
          <w:p w14:paraId="6CB41889" w14:textId="77777777" w:rsidR="00DF2CDF" w:rsidRPr="00824BC0" w:rsidRDefault="00DF2CDF" w:rsidP="00A8332E">
            <w:pPr>
              <w:jc w:val="both"/>
              <w:rPr>
                <w:rFonts w:ascii="Times New Roman" w:hAnsi="Times New Roman" w:cs="Times New Roman"/>
                <w:sz w:val="24"/>
                <w:szCs w:val="24"/>
              </w:rPr>
            </w:pPr>
          </w:p>
          <w:p w14:paraId="6AE2E892" w14:textId="251689E0" w:rsidR="00086746" w:rsidRPr="00824BC0" w:rsidRDefault="00086746" w:rsidP="00A8332E">
            <w:pPr>
              <w:jc w:val="both"/>
              <w:rPr>
                <w:rFonts w:ascii="Times New Roman" w:hAnsi="Times New Roman" w:cs="Times New Roman"/>
                <w:sz w:val="24"/>
                <w:szCs w:val="24"/>
              </w:rPr>
            </w:pPr>
          </w:p>
        </w:tc>
        <w:tc>
          <w:tcPr>
            <w:tcW w:w="1430" w:type="dxa"/>
          </w:tcPr>
          <w:p w14:paraId="1E010B7F" w14:textId="77777777" w:rsidR="00A8332E" w:rsidRPr="00824BC0" w:rsidRDefault="00A8332E" w:rsidP="00A8332E">
            <w:pPr>
              <w:jc w:val="both"/>
              <w:rPr>
                <w:rFonts w:ascii="Times New Roman" w:hAnsi="Times New Roman" w:cs="Times New Roman"/>
                <w:sz w:val="24"/>
                <w:szCs w:val="24"/>
              </w:rPr>
            </w:pPr>
          </w:p>
        </w:tc>
        <w:tc>
          <w:tcPr>
            <w:tcW w:w="248" w:type="dxa"/>
          </w:tcPr>
          <w:p w14:paraId="2922D4B0" w14:textId="77777777" w:rsidR="00A8332E" w:rsidRPr="00824BC0" w:rsidRDefault="00A8332E" w:rsidP="00A8332E">
            <w:pPr>
              <w:jc w:val="both"/>
              <w:rPr>
                <w:rFonts w:ascii="Times New Roman" w:hAnsi="Times New Roman" w:cs="Times New Roman"/>
                <w:sz w:val="24"/>
                <w:szCs w:val="24"/>
              </w:rPr>
            </w:pPr>
          </w:p>
        </w:tc>
        <w:tc>
          <w:tcPr>
            <w:tcW w:w="1435" w:type="dxa"/>
          </w:tcPr>
          <w:p w14:paraId="38463DB4" w14:textId="77777777" w:rsidR="00A8332E" w:rsidRPr="00824BC0" w:rsidRDefault="00A8332E" w:rsidP="00A8332E">
            <w:pPr>
              <w:jc w:val="both"/>
              <w:rPr>
                <w:rFonts w:ascii="Times New Roman" w:hAnsi="Times New Roman" w:cs="Times New Roman"/>
                <w:sz w:val="24"/>
                <w:szCs w:val="24"/>
              </w:rPr>
            </w:pPr>
          </w:p>
        </w:tc>
      </w:tr>
      <w:tr w:rsidR="00A8332E" w:rsidRPr="00824BC0" w14:paraId="5C756A6A" w14:textId="77777777" w:rsidTr="00362BDC">
        <w:tc>
          <w:tcPr>
            <w:tcW w:w="4246" w:type="dxa"/>
            <w:shd w:val="clear" w:color="auto" w:fill="auto"/>
          </w:tcPr>
          <w:p w14:paraId="6CC98F3A" w14:textId="77777777" w:rsidR="00A8332E" w:rsidRPr="00824BC0" w:rsidRDefault="00A8332E" w:rsidP="00A8332E">
            <w:pPr>
              <w:jc w:val="both"/>
              <w:rPr>
                <w:rFonts w:ascii="Times New Roman" w:hAnsi="Times New Roman" w:cs="Times New Roman"/>
                <w:sz w:val="24"/>
                <w:szCs w:val="24"/>
              </w:rPr>
            </w:pPr>
            <w:r w:rsidRPr="00824BC0">
              <w:rPr>
                <w:rFonts w:ascii="Times New Roman" w:hAnsi="Times New Roman" w:cs="Times New Roman"/>
                <w:sz w:val="24"/>
                <w:szCs w:val="24"/>
              </w:rPr>
              <w:t>Semi-Expendable Furniture and Fixtures</w:t>
            </w:r>
          </w:p>
        </w:tc>
        <w:tc>
          <w:tcPr>
            <w:tcW w:w="1430" w:type="dxa"/>
          </w:tcPr>
          <w:p w14:paraId="0B88984A"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₱36,000.00</w:t>
            </w:r>
          </w:p>
        </w:tc>
        <w:tc>
          <w:tcPr>
            <w:tcW w:w="248" w:type="dxa"/>
          </w:tcPr>
          <w:p w14:paraId="1246F7DF" w14:textId="77777777" w:rsidR="00A8332E" w:rsidRPr="00824BC0" w:rsidRDefault="00A8332E" w:rsidP="00A8332E">
            <w:pPr>
              <w:jc w:val="both"/>
              <w:rPr>
                <w:rFonts w:ascii="Times New Roman" w:hAnsi="Times New Roman" w:cs="Times New Roman"/>
                <w:sz w:val="24"/>
                <w:szCs w:val="24"/>
              </w:rPr>
            </w:pPr>
          </w:p>
        </w:tc>
        <w:tc>
          <w:tcPr>
            <w:tcW w:w="1435" w:type="dxa"/>
          </w:tcPr>
          <w:p w14:paraId="479FE733" w14:textId="77777777" w:rsidR="00A8332E" w:rsidRPr="00824BC0" w:rsidRDefault="00A8332E" w:rsidP="00A8332E">
            <w:pPr>
              <w:jc w:val="both"/>
              <w:rPr>
                <w:rFonts w:ascii="Times New Roman" w:hAnsi="Times New Roman" w:cs="Times New Roman"/>
                <w:sz w:val="24"/>
                <w:szCs w:val="24"/>
              </w:rPr>
            </w:pPr>
          </w:p>
        </w:tc>
      </w:tr>
      <w:tr w:rsidR="00A8332E" w:rsidRPr="00824BC0" w14:paraId="20EB31B8" w14:textId="77777777" w:rsidTr="00362BDC">
        <w:tc>
          <w:tcPr>
            <w:tcW w:w="4246" w:type="dxa"/>
            <w:shd w:val="clear" w:color="auto" w:fill="auto"/>
          </w:tcPr>
          <w:p w14:paraId="1F804B03" w14:textId="77777777" w:rsidR="00A8332E" w:rsidRPr="00824BC0" w:rsidRDefault="00A8332E" w:rsidP="00A8332E">
            <w:pPr>
              <w:jc w:val="both"/>
              <w:rPr>
                <w:rFonts w:ascii="Times New Roman" w:hAnsi="Times New Roman" w:cs="Times New Roman"/>
                <w:sz w:val="24"/>
                <w:szCs w:val="24"/>
              </w:rPr>
            </w:pPr>
            <w:r w:rsidRPr="00824BC0">
              <w:rPr>
                <w:rFonts w:ascii="Times New Roman" w:hAnsi="Times New Roman" w:cs="Times New Roman"/>
                <w:sz w:val="24"/>
                <w:szCs w:val="24"/>
              </w:rPr>
              <w:t xml:space="preserve">Semi-Expendable Office Equipment </w:t>
            </w:r>
            <w:r w:rsidRPr="00824BC0">
              <w:rPr>
                <w:rFonts w:ascii="Times New Roman" w:hAnsi="Times New Roman" w:cs="Times New Roman"/>
                <w:sz w:val="24"/>
                <w:szCs w:val="24"/>
              </w:rPr>
              <w:tab/>
            </w:r>
          </w:p>
        </w:tc>
        <w:tc>
          <w:tcPr>
            <w:tcW w:w="1430" w:type="dxa"/>
          </w:tcPr>
          <w:p w14:paraId="17CA7827"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56,000.00</w:t>
            </w:r>
          </w:p>
        </w:tc>
        <w:tc>
          <w:tcPr>
            <w:tcW w:w="248" w:type="dxa"/>
          </w:tcPr>
          <w:p w14:paraId="4D701D46" w14:textId="77777777" w:rsidR="00A8332E" w:rsidRPr="00824BC0" w:rsidRDefault="00A8332E" w:rsidP="00A8332E">
            <w:pPr>
              <w:jc w:val="both"/>
              <w:rPr>
                <w:rFonts w:ascii="Times New Roman" w:hAnsi="Times New Roman" w:cs="Times New Roman"/>
                <w:sz w:val="24"/>
                <w:szCs w:val="24"/>
              </w:rPr>
            </w:pPr>
          </w:p>
        </w:tc>
        <w:tc>
          <w:tcPr>
            <w:tcW w:w="1435" w:type="dxa"/>
          </w:tcPr>
          <w:p w14:paraId="611FED9B" w14:textId="77777777" w:rsidR="00A8332E" w:rsidRPr="00824BC0" w:rsidRDefault="00A8332E" w:rsidP="00A8332E">
            <w:pPr>
              <w:jc w:val="both"/>
              <w:rPr>
                <w:rFonts w:ascii="Times New Roman" w:hAnsi="Times New Roman" w:cs="Times New Roman"/>
                <w:sz w:val="24"/>
                <w:szCs w:val="24"/>
              </w:rPr>
            </w:pPr>
          </w:p>
        </w:tc>
      </w:tr>
      <w:tr w:rsidR="00A8332E" w:rsidRPr="00824BC0" w14:paraId="7EFB8555" w14:textId="77777777" w:rsidTr="00362BDC">
        <w:tc>
          <w:tcPr>
            <w:tcW w:w="4246" w:type="dxa"/>
            <w:shd w:val="clear" w:color="auto" w:fill="auto"/>
          </w:tcPr>
          <w:p w14:paraId="79DF3496" w14:textId="77777777" w:rsidR="00A8332E" w:rsidRPr="00824BC0" w:rsidRDefault="00A8332E" w:rsidP="00A8332E">
            <w:pPr>
              <w:jc w:val="both"/>
              <w:rPr>
                <w:rFonts w:ascii="Times New Roman" w:hAnsi="Times New Roman" w:cs="Times New Roman"/>
                <w:sz w:val="24"/>
                <w:szCs w:val="24"/>
              </w:rPr>
            </w:pPr>
            <w:r w:rsidRPr="00824BC0">
              <w:rPr>
                <w:rFonts w:ascii="Times New Roman" w:hAnsi="Times New Roman" w:cs="Times New Roman"/>
                <w:sz w:val="24"/>
                <w:szCs w:val="24"/>
              </w:rPr>
              <w:t>Accumulated Depreciation</w:t>
            </w:r>
            <w:r w:rsidRPr="00824BC0">
              <w:rPr>
                <w:rFonts w:ascii="Times New Roman" w:hAnsi="Times New Roman" w:cs="Times New Roman"/>
                <w:sz w:val="24"/>
                <w:szCs w:val="24"/>
              </w:rPr>
              <w:tab/>
            </w:r>
          </w:p>
        </w:tc>
        <w:tc>
          <w:tcPr>
            <w:tcW w:w="1430" w:type="dxa"/>
          </w:tcPr>
          <w:p w14:paraId="02F1490B"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8,739.97</w:t>
            </w:r>
          </w:p>
        </w:tc>
        <w:tc>
          <w:tcPr>
            <w:tcW w:w="248" w:type="dxa"/>
          </w:tcPr>
          <w:p w14:paraId="7D8BE9DC" w14:textId="77777777" w:rsidR="00A8332E" w:rsidRPr="00824BC0" w:rsidRDefault="00A8332E" w:rsidP="00A8332E">
            <w:pPr>
              <w:jc w:val="both"/>
              <w:rPr>
                <w:rFonts w:ascii="Times New Roman" w:hAnsi="Times New Roman" w:cs="Times New Roman"/>
                <w:sz w:val="24"/>
                <w:szCs w:val="24"/>
              </w:rPr>
            </w:pPr>
          </w:p>
        </w:tc>
        <w:tc>
          <w:tcPr>
            <w:tcW w:w="1435" w:type="dxa"/>
          </w:tcPr>
          <w:p w14:paraId="7B9785F8" w14:textId="77777777" w:rsidR="00A8332E" w:rsidRPr="00824BC0" w:rsidRDefault="00A8332E" w:rsidP="00A8332E">
            <w:pPr>
              <w:jc w:val="both"/>
              <w:rPr>
                <w:rFonts w:ascii="Times New Roman" w:hAnsi="Times New Roman" w:cs="Times New Roman"/>
                <w:sz w:val="24"/>
                <w:szCs w:val="24"/>
              </w:rPr>
            </w:pPr>
          </w:p>
        </w:tc>
      </w:tr>
      <w:tr w:rsidR="00A8332E" w:rsidRPr="00824BC0" w14:paraId="23D51767" w14:textId="77777777" w:rsidTr="00362BDC">
        <w:tc>
          <w:tcPr>
            <w:tcW w:w="4246" w:type="dxa"/>
            <w:shd w:val="clear" w:color="auto" w:fill="auto"/>
          </w:tcPr>
          <w:p w14:paraId="12371308" w14:textId="77777777" w:rsidR="00A8332E" w:rsidRPr="00824BC0" w:rsidRDefault="00A8332E" w:rsidP="00A8332E">
            <w:pPr>
              <w:ind w:firstLine="1452"/>
              <w:jc w:val="both"/>
              <w:rPr>
                <w:rFonts w:ascii="Times New Roman" w:hAnsi="Times New Roman" w:cs="Times New Roman"/>
                <w:sz w:val="24"/>
                <w:szCs w:val="24"/>
              </w:rPr>
            </w:pPr>
            <w:r w:rsidRPr="00824BC0">
              <w:rPr>
                <w:rFonts w:ascii="Times New Roman" w:hAnsi="Times New Roman" w:cs="Times New Roman"/>
                <w:sz w:val="24"/>
                <w:szCs w:val="24"/>
              </w:rPr>
              <w:t>Building</w:t>
            </w:r>
          </w:p>
        </w:tc>
        <w:tc>
          <w:tcPr>
            <w:tcW w:w="1430" w:type="dxa"/>
          </w:tcPr>
          <w:p w14:paraId="65E1C4D7" w14:textId="77777777" w:rsidR="00A8332E" w:rsidRPr="00824BC0" w:rsidRDefault="00A8332E" w:rsidP="00A8332E">
            <w:pPr>
              <w:jc w:val="both"/>
              <w:rPr>
                <w:rFonts w:ascii="Times New Roman" w:hAnsi="Times New Roman" w:cs="Times New Roman"/>
                <w:sz w:val="24"/>
                <w:szCs w:val="24"/>
              </w:rPr>
            </w:pPr>
          </w:p>
        </w:tc>
        <w:tc>
          <w:tcPr>
            <w:tcW w:w="248" w:type="dxa"/>
          </w:tcPr>
          <w:p w14:paraId="21494905" w14:textId="77777777" w:rsidR="00A8332E" w:rsidRPr="00824BC0" w:rsidRDefault="00A8332E" w:rsidP="00A8332E">
            <w:pPr>
              <w:jc w:val="both"/>
              <w:rPr>
                <w:rFonts w:ascii="Times New Roman" w:hAnsi="Times New Roman" w:cs="Times New Roman"/>
                <w:sz w:val="24"/>
                <w:szCs w:val="24"/>
              </w:rPr>
            </w:pPr>
          </w:p>
        </w:tc>
        <w:tc>
          <w:tcPr>
            <w:tcW w:w="1435" w:type="dxa"/>
          </w:tcPr>
          <w:p w14:paraId="13830149"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₱92,000.00</w:t>
            </w:r>
          </w:p>
        </w:tc>
      </w:tr>
      <w:tr w:rsidR="00A8332E" w:rsidRPr="00824BC0" w14:paraId="720B4A1A" w14:textId="77777777" w:rsidTr="00362BDC">
        <w:tc>
          <w:tcPr>
            <w:tcW w:w="4246" w:type="dxa"/>
            <w:shd w:val="clear" w:color="auto" w:fill="auto"/>
          </w:tcPr>
          <w:p w14:paraId="40EF81A4" w14:textId="77777777" w:rsidR="00A8332E" w:rsidRPr="00824BC0" w:rsidRDefault="00A8332E" w:rsidP="00A8332E">
            <w:pPr>
              <w:ind w:firstLine="1452"/>
              <w:jc w:val="both"/>
              <w:rPr>
                <w:rFonts w:ascii="Times New Roman" w:hAnsi="Times New Roman" w:cs="Times New Roman"/>
                <w:sz w:val="24"/>
                <w:szCs w:val="24"/>
              </w:rPr>
            </w:pPr>
            <w:r w:rsidRPr="00824BC0">
              <w:rPr>
                <w:rFonts w:ascii="Times New Roman" w:hAnsi="Times New Roman" w:cs="Times New Roman"/>
                <w:sz w:val="24"/>
                <w:szCs w:val="24"/>
              </w:rPr>
              <w:t>Accumulated Surplus</w:t>
            </w:r>
          </w:p>
        </w:tc>
        <w:tc>
          <w:tcPr>
            <w:tcW w:w="1430" w:type="dxa"/>
          </w:tcPr>
          <w:p w14:paraId="3F4D4566" w14:textId="77777777" w:rsidR="00A8332E" w:rsidRPr="00824BC0" w:rsidRDefault="00A8332E" w:rsidP="00A8332E">
            <w:pPr>
              <w:jc w:val="both"/>
              <w:rPr>
                <w:rFonts w:ascii="Times New Roman" w:hAnsi="Times New Roman" w:cs="Times New Roman"/>
                <w:sz w:val="24"/>
                <w:szCs w:val="24"/>
              </w:rPr>
            </w:pPr>
          </w:p>
        </w:tc>
        <w:tc>
          <w:tcPr>
            <w:tcW w:w="248" w:type="dxa"/>
          </w:tcPr>
          <w:p w14:paraId="126C2536" w14:textId="77777777" w:rsidR="00A8332E" w:rsidRPr="00824BC0" w:rsidRDefault="00A8332E" w:rsidP="00A8332E">
            <w:pPr>
              <w:jc w:val="both"/>
              <w:rPr>
                <w:rFonts w:ascii="Times New Roman" w:hAnsi="Times New Roman" w:cs="Times New Roman"/>
                <w:sz w:val="24"/>
                <w:szCs w:val="24"/>
              </w:rPr>
            </w:pPr>
          </w:p>
        </w:tc>
        <w:tc>
          <w:tcPr>
            <w:tcW w:w="1435" w:type="dxa"/>
          </w:tcPr>
          <w:p w14:paraId="59DC4336"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8,739.97</w:t>
            </w:r>
          </w:p>
        </w:tc>
      </w:tr>
      <w:tr w:rsidR="00A8332E" w:rsidRPr="00824BC0" w14:paraId="0786EB56" w14:textId="77777777" w:rsidTr="00742B6D">
        <w:trPr>
          <w:trHeight w:val="647"/>
        </w:trPr>
        <w:tc>
          <w:tcPr>
            <w:tcW w:w="7359" w:type="dxa"/>
            <w:gridSpan w:val="4"/>
            <w:shd w:val="clear" w:color="auto" w:fill="auto"/>
          </w:tcPr>
          <w:p w14:paraId="3626BF55" w14:textId="77777777" w:rsidR="00A8332E" w:rsidRPr="00824BC0" w:rsidRDefault="00A8332E" w:rsidP="00A8332E">
            <w:pPr>
              <w:ind w:left="35" w:right="41"/>
              <w:jc w:val="both"/>
              <w:rPr>
                <w:rFonts w:ascii="Times New Roman" w:hAnsi="Times New Roman" w:cs="Times New Roman"/>
                <w:i/>
                <w:iCs/>
                <w:sz w:val="24"/>
                <w:szCs w:val="24"/>
              </w:rPr>
            </w:pPr>
            <w:r w:rsidRPr="00824BC0">
              <w:rPr>
                <w:rFonts w:ascii="Times New Roman" w:hAnsi="Times New Roman" w:cs="Times New Roman"/>
                <w:i/>
                <w:iCs/>
                <w:sz w:val="24"/>
                <w:szCs w:val="24"/>
              </w:rPr>
              <w:t>To record the adjustment on the cost of Building - Student Center and its corresponding depreciation</w:t>
            </w:r>
          </w:p>
        </w:tc>
      </w:tr>
      <w:tr w:rsidR="00A8332E" w:rsidRPr="00824BC0" w14:paraId="1FEECDB6" w14:textId="77777777" w:rsidTr="00362BDC">
        <w:tc>
          <w:tcPr>
            <w:tcW w:w="4246" w:type="dxa"/>
          </w:tcPr>
          <w:p w14:paraId="24054DC2" w14:textId="77777777" w:rsidR="00DF2CDF" w:rsidRPr="00824BC0" w:rsidRDefault="00DF2CDF" w:rsidP="00A8332E">
            <w:pPr>
              <w:jc w:val="both"/>
              <w:rPr>
                <w:rFonts w:ascii="Times New Roman" w:hAnsi="Times New Roman" w:cs="Times New Roman"/>
                <w:sz w:val="24"/>
                <w:szCs w:val="24"/>
              </w:rPr>
            </w:pPr>
          </w:p>
          <w:p w14:paraId="18A40B57" w14:textId="541E2885" w:rsidR="00086746" w:rsidRPr="00824BC0" w:rsidRDefault="00086746" w:rsidP="00A8332E">
            <w:pPr>
              <w:jc w:val="both"/>
              <w:rPr>
                <w:rFonts w:ascii="Times New Roman" w:hAnsi="Times New Roman" w:cs="Times New Roman"/>
                <w:sz w:val="24"/>
                <w:szCs w:val="24"/>
              </w:rPr>
            </w:pPr>
          </w:p>
        </w:tc>
        <w:tc>
          <w:tcPr>
            <w:tcW w:w="1430" w:type="dxa"/>
          </w:tcPr>
          <w:p w14:paraId="6853B543" w14:textId="77777777" w:rsidR="00A8332E" w:rsidRPr="00824BC0" w:rsidRDefault="00A8332E" w:rsidP="00A8332E">
            <w:pPr>
              <w:jc w:val="both"/>
              <w:rPr>
                <w:rFonts w:ascii="Times New Roman" w:hAnsi="Times New Roman" w:cs="Times New Roman"/>
                <w:sz w:val="24"/>
                <w:szCs w:val="24"/>
              </w:rPr>
            </w:pPr>
          </w:p>
        </w:tc>
        <w:tc>
          <w:tcPr>
            <w:tcW w:w="248" w:type="dxa"/>
          </w:tcPr>
          <w:p w14:paraId="6E5DAF11" w14:textId="77777777" w:rsidR="00A8332E" w:rsidRPr="00824BC0" w:rsidRDefault="00A8332E" w:rsidP="00A8332E">
            <w:pPr>
              <w:jc w:val="both"/>
              <w:rPr>
                <w:rFonts w:ascii="Times New Roman" w:hAnsi="Times New Roman" w:cs="Times New Roman"/>
                <w:sz w:val="24"/>
                <w:szCs w:val="24"/>
              </w:rPr>
            </w:pPr>
          </w:p>
        </w:tc>
        <w:tc>
          <w:tcPr>
            <w:tcW w:w="1435" w:type="dxa"/>
          </w:tcPr>
          <w:p w14:paraId="1B121650" w14:textId="77777777" w:rsidR="00A8332E" w:rsidRPr="00824BC0" w:rsidRDefault="00A8332E" w:rsidP="00A8332E">
            <w:pPr>
              <w:jc w:val="both"/>
              <w:rPr>
                <w:rFonts w:ascii="Times New Roman" w:hAnsi="Times New Roman" w:cs="Times New Roman"/>
                <w:sz w:val="24"/>
                <w:szCs w:val="24"/>
              </w:rPr>
            </w:pPr>
          </w:p>
        </w:tc>
      </w:tr>
      <w:tr w:rsidR="00A8332E" w:rsidRPr="00824BC0" w14:paraId="07799BD8" w14:textId="77777777" w:rsidTr="00362BDC">
        <w:tc>
          <w:tcPr>
            <w:tcW w:w="4246" w:type="dxa"/>
          </w:tcPr>
          <w:p w14:paraId="27568002" w14:textId="77777777" w:rsidR="00A8332E" w:rsidRPr="00824BC0" w:rsidRDefault="00A8332E" w:rsidP="00A8332E">
            <w:pPr>
              <w:jc w:val="both"/>
              <w:rPr>
                <w:rFonts w:ascii="Times New Roman" w:hAnsi="Times New Roman" w:cs="Times New Roman"/>
                <w:sz w:val="24"/>
                <w:szCs w:val="24"/>
              </w:rPr>
            </w:pPr>
            <w:r w:rsidRPr="00824BC0">
              <w:rPr>
                <w:rFonts w:ascii="Times New Roman" w:hAnsi="Times New Roman" w:cs="Times New Roman"/>
                <w:sz w:val="24"/>
                <w:szCs w:val="24"/>
              </w:rPr>
              <w:t>Semi-Expendable Furniture and Fixtures</w:t>
            </w:r>
          </w:p>
        </w:tc>
        <w:tc>
          <w:tcPr>
            <w:tcW w:w="1430" w:type="dxa"/>
          </w:tcPr>
          <w:p w14:paraId="3C798BBE"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₱144,800.00</w:t>
            </w:r>
          </w:p>
        </w:tc>
        <w:tc>
          <w:tcPr>
            <w:tcW w:w="248" w:type="dxa"/>
          </w:tcPr>
          <w:p w14:paraId="1DF2C8A6" w14:textId="77777777" w:rsidR="00A8332E" w:rsidRPr="00824BC0" w:rsidRDefault="00A8332E" w:rsidP="00A8332E">
            <w:pPr>
              <w:jc w:val="right"/>
              <w:rPr>
                <w:rFonts w:ascii="Times New Roman" w:hAnsi="Times New Roman" w:cs="Times New Roman"/>
                <w:sz w:val="24"/>
                <w:szCs w:val="24"/>
              </w:rPr>
            </w:pPr>
          </w:p>
        </w:tc>
        <w:tc>
          <w:tcPr>
            <w:tcW w:w="1435" w:type="dxa"/>
          </w:tcPr>
          <w:p w14:paraId="06084CDE" w14:textId="77777777" w:rsidR="00A8332E" w:rsidRPr="00824BC0" w:rsidRDefault="00A8332E" w:rsidP="00A8332E">
            <w:pPr>
              <w:jc w:val="right"/>
              <w:rPr>
                <w:rFonts w:ascii="Times New Roman" w:hAnsi="Times New Roman" w:cs="Times New Roman"/>
                <w:sz w:val="24"/>
                <w:szCs w:val="24"/>
              </w:rPr>
            </w:pPr>
          </w:p>
        </w:tc>
      </w:tr>
      <w:tr w:rsidR="00A8332E" w:rsidRPr="00824BC0" w14:paraId="009961DE" w14:textId="77777777" w:rsidTr="00362BDC">
        <w:tc>
          <w:tcPr>
            <w:tcW w:w="4246" w:type="dxa"/>
          </w:tcPr>
          <w:p w14:paraId="5F5C73FA" w14:textId="77777777" w:rsidR="00A8332E" w:rsidRPr="00824BC0" w:rsidRDefault="00A8332E" w:rsidP="00A8332E">
            <w:pPr>
              <w:jc w:val="both"/>
              <w:rPr>
                <w:rFonts w:ascii="Times New Roman" w:hAnsi="Times New Roman" w:cs="Times New Roman"/>
                <w:sz w:val="24"/>
                <w:szCs w:val="24"/>
              </w:rPr>
            </w:pPr>
            <w:r w:rsidRPr="00824BC0">
              <w:rPr>
                <w:rFonts w:ascii="Times New Roman" w:hAnsi="Times New Roman" w:cs="Times New Roman"/>
                <w:sz w:val="24"/>
                <w:szCs w:val="24"/>
              </w:rPr>
              <w:t xml:space="preserve">Semi-Expendable Office Equipment </w:t>
            </w:r>
            <w:r w:rsidRPr="00824BC0">
              <w:rPr>
                <w:rFonts w:ascii="Times New Roman" w:hAnsi="Times New Roman" w:cs="Times New Roman"/>
                <w:sz w:val="24"/>
                <w:szCs w:val="24"/>
              </w:rPr>
              <w:tab/>
            </w:r>
          </w:p>
        </w:tc>
        <w:tc>
          <w:tcPr>
            <w:tcW w:w="1430" w:type="dxa"/>
          </w:tcPr>
          <w:p w14:paraId="78DA14BC"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38,000.00</w:t>
            </w:r>
          </w:p>
        </w:tc>
        <w:tc>
          <w:tcPr>
            <w:tcW w:w="248" w:type="dxa"/>
          </w:tcPr>
          <w:p w14:paraId="615A651C" w14:textId="77777777" w:rsidR="00A8332E" w:rsidRPr="00824BC0" w:rsidRDefault="00A8332E" w:rsidP="00A8332E">
            <w:pPr>
              <w:jc w:val="right"/>
              <w:rPr>
                <w:rFonts w:ascii="Times New Roman" w:hAnsi="Times New Roman" w:cs="Times New Roman"/>
                <w:sz w:val="24"/>
                <w:szCs w:val="24"/>
              </w:rPr>
            </w:pPr>
          </w:p>
        </w:tc>
        <w:tc>
          <w:tcPr>
            <w:tcW w:w="1435" w:type="dxa"/>
          </w:tcPr>
          <w:p w14:paraId="63E5C3E7" w14:textId="77777777" w:rsidR="00A8332E" w:rsidRPr="00824BC0" w:rsidRDefault="00A8332E" w:rsidP="00A8332E">
            <w:pPr>
              <w:jc w:val="right"/>
              <w:rPr>
                <w:rFonts w:ascii="Times New Roman" w:hAnsi="Times New Roman" w:cs="Times New Roman"/>
                <w:sz w:val="24"/>
                <w:szCs w:val="24"/>
              </w:rPr>
            </w:pPr>
          </w:p>
        </w:tc>
      </w:tr>
      <w:tr w:rsidR="00A8332E" w:rsidRPr="00824BC0" w14:paraId="0812E9E8" w14:textId="77777777" w:rsidTr="00362BDC">
        <w:tc>
          <w:tcPr>
            <w:tcW w:w="4246" w:type="dxa"/>
          </w:tcPr>
          <w:p w14:paraId="174C392C" w14:textId="77777777" w:rsidR="00A8332E" w:rsidRPr="00824BC0" w:rsidRDefault="00A8332E" w:rsidP="00A8332E">
            <w:pPr>
              <w:jc w:val="both"/>
              <w:rPr>
                <w:rFonts w:ascii="Times New Roman" w:hAnsi="Times New Roman" w:cs="Times New Roman"/>
                <w:sz w:val="24"/>
                <w:szCs w:val="24"/>
              </w:rPr>
            </w:pPr>
            <w:r w:rsidRPr="00824BC0">
              <w:rPr>
                <w:rFonts w:ascii="Times New Roman" w:hAnsi="Times New Roman" w:cs="Times New Roman"/>
                <w:sz w:val="24"/>
                <w:szCs w:val="24"/>
              </w:rPr>
              <w:t>Accumulated Surplus</w:t>
            </w:r>
          </w:p>
        </w:tc>
        <w:tc>
          <w:tcPr>
            <w:tcW w:w="1430" w:type="dxa"/>
          </w:tcPr>
          <w:p w14:paraId="623A1750"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88,181.66</w:t>
            </w:r>
          </w:p>
        </w:tc>
        <w:tc>
          <w:tcPr>
            <w:tcW w:w="248" w:type="dxa"/>
          </w:tcPr>
          <w:p w14:paraId="699D4498" w14:textId="77777777" w:rsidR="00A8332E" w:rsidRPr="00824BC0" w:rsidRDefault="00A8332E" w:rsidP="00A8332E">
            <w:pPr>
              <w:jc w:val="right"/>
              <w:rPr>
                <w:rFonts w:ascii="Times New Roman" w:hAnsi="Times New Roman" w:cs="Times New Roman"/>
                <w:sz w:val="24"/>
                <w:szCs w:val="24"/>
              </w:rPr>
            </w:pPr>
          </w:p>
        </w:tc>
        <w:tc>
          <w:tcPr>
            <w:tcW w:w="1435" w:type="dxa"/>
          </w:tcPr>
          <w:p w14:paraId="515D6C5C" w14:textId="77777777" w:rsidR="00A8332E" w:rsidRPr="00824BC0" w:rsidRDefault="00A8332E" w:rsidP="00A8332E">
            <w:pPr>
              <w:jc w:val="right"/>
              <w:rPr>
                <w:rFonts w:ascii="Times New Roman" w:hAnsi="Times New Roman" w:cs="Times New Roman"/>
                <w:sz w:val="24"/>
                <w:szCs w:val="24"/>
              </w:rPr>
            </w:pPr>
          </w:p>
        </w:tc>
      </w:tr>
      <w:tr w:rsidR="00A8332E" w:rsidRPr="00824BC0" w14:paraId="1E0CF6C0" w14:textId="77777777" w:rsidTr="00362BDC">
        <w:tc>
          <w:tcPr>
            <w:tcW w:w="4246" w:type="dxa"/>
          </w:tcPr>
          <w:p w14:paraId="58A40CA5" w14:textId="77777777" w:rsidR="00A8332E" w:rsidRPr="00824BC0" w:rsidRDefault="00A8332E" w:rsidP="00A8332E">
            <w:pPr>
              <w:ind w:firstLine="1458"/>
              <w:jc w:val="both"/>
              <w:rPr>
                <w:rFonts w:ascii="Times New Roman" w:hAnsi="Times New Roman" w:cs="Times New Roman"/>
                <w:sz w:val="24"/>
                <w:szCs w:val="24"/>
              </w:rPr>
            </w:pPr>
            <w:r w:rsidRPr="00824BC0">
              <w:rPr>
                <w:rFonts w:ascii="Times New Roman" w:hAnsi="Times New Roman" w:cs="Times New Roman"/>
                <w:sz w:val="24"/>
                <w:szCs w:val="24"/>
              </w:rPr>
              <w:t>Building</w:t>
            </w:r>
          </w:p>
        </w:tc>
        <w:tc>
          <w:tcPr>
            <w:tcW w:w="1430" w:type="dxa"/>
          </w:tcPr>
          <w:p w14:paraId="28860BF5" w14:textId="77777777" w:rsidR="00A8332E" w:rsidRPr="00824BC0" w:rsidRDefault="00A8332E" w:rsidP="00A8332E">
            <w:pPr>
              <w:jc w:val="right"/>
              <w:rPr>
                <w:rFonts w:ascii="Times New Roman" w:hAnsi="Times New Roman" w:cs="Times New Roman"/>
                <w:sz w:val="24"/>
                <w:szCs w:val="24"/>
              </w:rPr>
            </w:pPr>
          </w:p>
        </w:tc>
        <w:tc>
          <w:tcPr>
            <w:tcW w:w="248" w:type="dxa"/>
          </w:tcPr>
          <w:p w14:paraId="39856CB4" w14:textId="77777777" w:rsidR="00A8332E" w:rsidRPr="00824BC0" w:rsidRDefault="00A8332E" w:rsidP="00A8332E">
            <w:pPr>
              <w:jc w:val="right"/>
              <w:rPr>
                <w:rFonts w:ascii="Times New Roman" w:hAnsi="Times New Roman" w:cs="Times New Roman"/>
                <w:sz w:val="24"/>
                <w:szCs w:val="24"/>
              </w:rPr>
            </w:pPr>
          </w:p>
        </w:tc>
        <w:tc>
          <w:tcPr>
            <w:tcW w:w="1435" w:type="dxa"/>
          </w:tcPr>
          <w:p w14:paraId="4EA7FFCB"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₱182,800.00</w:t>
            </w:r>
          </w:p>
        </w:tc>
      </w:tr>
      <w:tr w:rsidR="00A8332E" w:rsidRPr="00824BC0" w14:paraId="261DA8F9" w14:textId="77777777" w:rsidTr="00362BDC">
        <w:tc>
          <w:tcPr>
            <w:tcW w:w="4246" w:type="dxa"/>
          </w:tcPr>
          <w:p w14:paraId="7262DBB8" w14:textId="77777777" w:rsidR="00A8332E" w:rsidRPr="00824BC0" w:rsidRDefault="00A8332E" w:rsidP="00A8332E">
            <w:pPr>
              <w:ind w:firstLine="1458"/>
              <w:jc w:val="both"/>
              <w:rPr>
                <w:rFonts w:ascii="Times New Roman" w:hAnsi="Times New Roman" w:cs="Times New Roman"/>
                <w:sz w:val="24"/>
                <w:szCs w:val="24"/>
              </w:rPr>
            </w:pPr>
            <w:r w:rsidRPr="00824BC0">
              <w:rPr>
                <w:rFonts w:ascii="Times New Roman" w:hAnsi="Times New Roman" w:cs="Times New Roman"/>
                <w:sz w:val="24"/>
                <w:szCs w:val="24"/>
              </w:rPr>
              <w:t>Accumulated Depreciation</w:t>
            </w:r>
          </w:p>
        </w:tc>
        <w:tc>
          <w:tcPr>
            <w:tcW w:w="1430" w:type="dxa"/>
          </w:tcPr>
          <w:p w14:paraId="559415FB" w14:textId="77777777" w:rsidR="00A8332E" w:rsidRPr="00824BC0" w:rsidRDefault="00A8332E" w:rsidP="00A8332E">
            <w:pPr>
              <w:jc w:val="right"/>
              <w:rPr>
                <w:rFonts w:ascii="Times New Roman" w:hAnsi="Times New Roman" w:cs="Times New Roman"/>
                <w:sz w:val="24"/>
                <w:szCs w:val="24"/>
              </w:rPr>
            </w:pPr>
          </w:p>
        </w:tc>
        <w:tc>
          <w:tcPr>
            <w:tcW w:w="248" w:type="dxa"/>
          </w:tcPr>
          <w:p w14:paraId="2D1C2D01" w14:textId="77777777" w:rsidR="00A8332E" w:rsidRPr="00824BC0" w:rsidRDefault="00A8332E" w:rsidP="00A8332E">
            <w:pPr>
              <w:jc w:val="right"/>
              <w:rPr>
                <w:rFonts w:ascii="Times New Roman" w:hAnsi="Times New Roman" w:cs="Times New Roman"/>
                <w:sz w:val="24"/>
                <w:szCs w:val="24"/>
              </w:rPr>
            </w:pPr>
          </w:p>
        </w:tc>
        <w:tc>
          <w:tcPr>
            <w:tcW w:w="1435" w:type="dxa"/>
          </w:tcPr>
          <w:p w14:paraId="2CF74BA4"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88,181.66</w:t>
            </w:r>
          </w:p>
        </w:tc>
      </w:tr>
      <w:tr w:rsidR="00A8332E" w:rsidRPr="00824BC0" w14:paraId="1599E4EB" w14:textId="77777777" w:rsidTr="00742B6D">
        <w:tc>
          <w:tcPr>
            <w:tcW w:w="7359" w:type="dxa"/>
            <w:gridSpan w:val="4"/>
            <w:vAlign w:val="center"/>
          </w:tcPr>
          <w:p w14:paraId="5AE81C7E" w14:textId="77777777" w:rsidR="00A8332E" w:rsidRPr="00824BC0" w:rsidRDefault="00A8332E" w:rsidP="00A8332E">
            <w:pPr>
              <w:ind w:left="41" w:right="567"/>
              <w:rPr>
                <w:rFonts w:ascii="Times New Roman" w:hAnsi="Times New Roman" w:cs="Times New Roman"/>
                <w:i/>
                <w:iCs/>
                <w:sz w:val="24"/>
                <w:szCs w:val="24"/>
              </w:rPr>
            </w:pPr>
            <w:r w:rsidRPr="00824BC0">
              <w:rPr>
                <w:rFonts w:ascii="Times New Roman" w:hAnsi="Times New Roman" w:cs="Times New Roman"/>
                <w:i/>
                <w:iCs/>
                <w:sz w:val="24"/>
                <w:szCs w:val="24"/>
              </w:rPr>
              <w:t>To record the adjustment on the cost of Building – Graduate Studies Building and its corresponding depreciation</w:t>
            </w:r>
          </w:p>
        </w:tc>
      </w:tr>
      <w:tr w:rsidR="00A8332E" w:rsidRPr="00824BC0" w14:paraId="75B03104" w14:textId="77777777" w:rsidTr="00362BDC">
        <w:tc>
          <w:tcPr>
            <w:tcW w:w="4246" w:type="dxa"/>
          </w:tcPr>
          <w:p w14:paraId="5738C7C7" w14:textId="77777777" w:rsidR="00FB4E63" w:rsidRPr="00824BC0" w:rsidRDefault="00FB4E63" w:rsidP="00A8332E">
            <w:pPr>
              <w:jc w:val="both"/>
              <w:rPr>
                <w:rFonts w:ascii="Times New Roman" w:hAnsi="Times New Roman" w:cs="Times New Roman"/>
                <w:sz w:val="24"/>
                <w:szCs w:val="24"/>
              </w:rPr>
            </w:pPr>
          </w:p>
          <w:p w14:paraId="48E66C14" w14:textId="7A84E457" w:rsidR="00086746" w:rsidRPr="00824BC0" w:rsidRDefault="00086746" w:rsidP="00A8332E">
            <w:pPr>
              <w:jc w:val="both"/>
              <w:rPr>
                <w:rFonts w:ascii="Times New Roman" w:hAnsi="Times New Roman" w:cs="Times New Roman"/>
                <w:sz w:val="24"/>
                <w:szCs w:val="24"/>
              </w:rPr>
            </w:pPr>
          </w:p>
        </w:tc>
        <w:tc>
          <w:tcPr>
            <w:tcW w:w="1430" w:type="dxa"/>
          </w:tcPr>
          <w:p w14:paraId="4ACD225E" w14:textId="77777777" w:rsidR="00A8332E" w:rsidRPr="00824BC0" w:rsidRDefault="00A8332E" w:rsidP="00A8332E">
            <w:pPr>
              <w:jc w:val="both"/>
              <w:rPr>
                <w:rFonts w:ascii="Times New Roman" w:hAnsi="Times New Roman" w:cs="Times New Roman"/>
                <w:sz w:val="24"/>
                <w:szCs w:val="24"/>
              </w:rPr>
            </w:pPr>
          </w:p>
        </w:tc>
        <w:tc>
          <w:tcPr>
            <w:tcW w:w="248" w:type="dxa"/>
          </w:tcPr>
          <w:p w14:paraId="3AAC4797" w14:textId="77777777" w:rsidR="00A8332E" w:rsidRPr="00824BC0" w:rsidRDefault="00A8332E" w:rsidP="00A8332E">
            <w:pPr>
              <w:jc w:val="both"/>
              <w:rPr>
                <w:rFonts w:ascii="Times New Roman" w:hAnsi="Times New Roman" w:cs="Times New Roman"/>
                <w:sz w:val="24"/>
                <w:szCs w:val="24"/>
              </w:rPr>
            </w:pPr>
          </w:p>
        </w:tc>
        <w:tc>
          <w:tcPr>
            <w:tcW w:w="1435" w:type="dxa"/>
          </w:tcPr>
          <w:p w14:paraId="7E4344B8" w14:textId="77777777" w:rsidR="00A8332E" w:rsidRPr="00824BC0" w:rsidRDefault="00A8332E" w:rsidP="00A8332E">
            <w:pPr>
              <w:jc w:val="both"/>
              <w:rPr>
                <w:rFonts w:ascii="Times New Roman" w:hAnsi="Times New Roman" w:cs="Times New Roman"/>
                <w:sz w:val="24"/>
                <w:szCs w:val="24"/>
              </w:rPr>
            </w:pPr>
          </w:p>
        </w:tc>
      </w:tr>
      <w:tr w:rsidR="00A8332E" w:rsidRPr="00824BC0" w14:paraId="03D4345D" w14:textId="77777777" w:rsidTr="00362BDC">
        <w:tc>
          <w:tcPr>
            <w:tcW w:w="4246" w:type="dxa"/>
          </w:tcPr>
          <w:p w14:paraId="03554F22" w14:textId="77777777" w:rsidR="00A8332E" w:rsidRPr="00824BC0" w:rsidRDefault="00A8332E" w:rsidP="00A8332E">
            <w:pPr>
              <w:jc w:val="both"/>
              <w:rPr>
                <w:rFonts w:ascii="Times New Roman" w:hAnsi="Times New Roman" w:cs="Times New Roman"/>
                <w:sz w:val="24"/>
                <w:szCs w:val="24"/>
              </w:rPr>
            </w:pPr>
            <w:r w:rsidRPr="00824BC0">
              <w:rPr>
                <w:rFonts w:ascii="Times New Roman" w:hAnsi="Times New Roman" w:cs="Times New Roman"/>
                <w:sz w:val="24"/>
                <w:szCs w:val="24"/>
              </w:rPr>
              <w:t xml:space="preserve">Office Equipment </w:t>
            </w:r>
          </w:p>
        </w:tc>
        <w:tc>
          <w:tcPr>
            <w:tcW w:w="1430" w:type="dxa"/>
          </w:tcPr>
          <w:p w14:paraId="7AC97562"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₱380,000.00</w:t>
            </w:r>
          </w:p>
        </w:tc>
        <w:tc>
          <w:tcPr>
            <w:tcW w:w="248" w:type="dxa"/>
          </w:tcPr>
          <w:p w14:paraId="1DA92CFD" w14:textId="77777777" w:rsidR="00A8332E" w:rsidRPr="00824BC0" w:rsidRDefault="00A8332E" w:rsidP="00A8332E">
            <w:pPr>
              <w:jc w:val="right"/>
              <w:rPr>
                <w:rFonts w:ascii="Times New Roman" w:hAnsi="Times New Roman" w:cs="Times New Roman"/>
                <w:sz w:val="24"/>
                <w:szCs w:val="24"/>
              </w:rPr>
            </w:pPr>
          </w:p>
        </w:tc>
        <w:tc>
          <w:tcPr>
            <w:tcW w:w="1435" w:type="dxa"/>
          </w:tcPr>
          <w:p w14:paraId="7E2F9E2E" w14:textId="77777777" w:rsidR="00A8332E" w:rsidRPr="00824BC0" w:rsidRDefault="00A8332E" w:rsidP="00A8332E">
            <w:pPr>
              <w:jc w:val="right"/>
              <w:rPr>
                <w:rFonts w:ascii="Times New Roman" w:hAnsi="Times New Roman" w:cs="Times New Roman"/>
                <w:sz w:val="24"/>
                <w:szCs w:val="24"/>
              </w:rPr>
            </w:pPr>
          </w:p>
        </w:tc>
      </w:tr>
      <w:tr w:rsidR="00A8332E" w:rsidRPr="00824BC0" w14:paraId="6E86FF77" w14:textId="77777777" w:rsidTr="00362BDC">
        <w:tc>
          <w:tcPr>
            <w:tcW w:w="4246" w:type="dxa"/>
          </w:tcPr>
          <w:p w14:paraId="7EE98BC1" w14:textId="77777777" w:rsidR="00A8332E" w:rsidRPr="00824BC0" w:rsidRDefault="00A8332E" w:rsidP="00A8332E">
            <w:pPr>
              <w:jc w:val="both"/>
              <w:rPr>
                <w:rFonts w:ascii="Times New Roman" w:hAnsi="Times New Roman" w:cs="Times New Roman"/>
                <w:sz w:val="24"/>
                <w:szCs w:val="24"/>
              </w:rPr>
            </w:pPr>
            <w:r w:rsidRPr="00824BC0">
              <w:rPr>
                <w:rFonts w:ascii="Times New Roman" w:hAnsi="Times New Roman" w:cs="Times New Roman"/>
                <w:sz w:val="24"/>
                <w:szCs w:val="24"/>
              </w:rPr>
              <w:t>Semi-Expendable Furniture and Fixtures</w:t>
            </w:r>
          </w:p>
        </w:tc>
        <w:tc>
          <w:tcPr>
            <w:tcW w:w="1430" w:type="dxa"/>
          </w:tcPr>
          <w:p w14:paraId="60A35F40" w14:textId="2561829E" w:rsidR="00A8332E" w:rsidRPr="00824BC0" w:rsidRDefault="00AB2C63" w:rsidP="00A8332E">
            <w:pPr>
              <w:jc w:val="right"/>
              <w:rPr>
                <w:rFonts w:ascii="Times New Roman" w:hAnsi="Times New Roman" w:cs="Times New Roman"/>
                <w:sz w:val="24"/>
                <w:szCs w:val="24"/>
              </w:rPr>
            </w:pPr>
            <w:r w:rsidRPr="00824BC0">
              <w:rPr>
                <w:rFonts w:ascii="Times New Roman" w:hAnsi="Times New Roman" w:cs="Times New Roman"/>
                <w:sz w:val="24"/>
                <w:szCs w:val="24"/>
              </w:rPr>
              <w:t>307,600.00</w:t>
            </w:r>
          </w:p>
        </w:tc>
        <w:tc>
          <w:tcPr>
            <w:tcW w:w="248" w:type="dxa"/>
          </w:tcPr>
          <w:p w14:paraId="768A0911" w14:textId="77777777" w:rsidR="00A8332E" w:rsidRPr="00824BC0" w:rsidRDefault="00A8332E" w:rsidP="00A8332E">
            <w:pPr>
              <w:jc w:val="right"/>
              <w:rPr>
                <w:rFonts w:ascii="Times New Roman" w:hAnsi="Times New Roman" w:cs="Times New Roman"/>
                <w:sz w:val="24"/>
                <w:szCs w:val="24"/>
              </w:rPr>
            </w:pPr>
          </w:p>
        </w:tc>
        <w:tc>
          <w:tcPr>
            <w:tcW w:w="1435" w:type="dxa"/>
          </w:tcPr>
          <w:p w14:paraId="288AC3D1" w14:textId="28DCBA45" w:rsidR="00A8332E" w:rsidRPr="00824BC0" w:rsidRDefault="00A8332E" w:rsidP="00A8332E">
            <w:pPr>
              <w:jc w:val="right"/>
              <w:rPr>
                <w:rFonts w:ascii="Times New Roman" w:hAnsi="Times New Roman" w:cs="Times New Roman"/>
                <w:sz w:val="24"/>
                <w:szCs w:val="24"/>
              </w:rPr>
            </w:pPr>
          </w:p>
        </w:tc>
      </w:tr>
      <w:tr w:rsidR="00A8332E" w:rsidRPr="00824BC0" w14:paraId="109E94FC" w14:textId="77777777" w:rsidTr="00362BDC">
        <w:tc>
          <w:tcPr>
            <w:tcW w:w="4246" w:type="dxa"/>
          </w:tcPr>
          <w:p w14:paraId="4C037091" w14:textId="77777777" w:rsidR="00A8332E" w:rsidRPr="00824BC0" w:rsidRDefault="00A8332E" w:rsidP="00A8332E">
            <w:pPr>
              <w:jc w:val="both"/>
              <w:rPr>
                <w:rFonts w:ascii="Times New Roman" w:hAnsi="Times New Roman" w:cs="Times New Roman"/>
                <w:sz w:val="24"/>
                <w:szCs w:val="24"/>
              </w:rPr>
            </w:pPr>
            <w:r w:rsidRPr="00824BC0">
              <w:rPr>
                <w:rFonts w:ascii="Times New Roman" w:hAnsi="Times New Roman" w:cs="Times New Roman"/>
                <w:sz w:val="24"/>
                <w:szCs w:val="24"/>
              </w:rPr>
              <w:t xml:space="preserve">Semi-Expendable Office Equipment </w:t>
            </w:r>
            <w:r w:rsidRPr="00824BC0">
              <w:rPr>
                <w:rFonts w:ascii="Times New Roman" w:hAnsi="Times New Roman" w:cs="Times New Roman"/>
                <w:sz w:val="24"/>
                <w:szCs w:val="24"/>
              </w:rPr>
              <w:tab/>
            </w:r>
          </w:p>
        </w:tc>
        <w:tc>
          <w:tcPr>
            <w:tcW w:w="1430" w:type="dxa"/>
          </w:tcPr>
          <w:p w14:paraId="3B0239BA"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112,000.00</w:t>
            </w:r>
          </w:p>
        </w:tc>
        <w:tc>
          <w:tcPr>
            <w:tcW w:w="248" w:type="dxa"/>
          </w:tcPr>
          <w:p w14:paraId="5F6D603F" w14:textId="77777777" w:rsidR="00A8332E" w:rsidRPr="00824BC0" w:rsidRDefault="00A8332E" w:rsidP="00A8332E">
            <w:pPr>
              <w:jc w:val="right"/>
              <w:rPr>
                <w:rFonts w:ascii="Times New Roman" w:hAnsi="Times New Roman" w:cs="Times New Roman"/>
                <w:sz w:val="24"/>
                <w:szCs w:val="24"/>
              </w:rPr>
            </w:pPr>
          </w:p>
        </w:tc>
        <w:tc>
          <w:tcPr>
            <w:tcW w:w="1435" w:type="dxa"/>
          </w:tcPr>
          <w:p w14:paraId="02123C43" w14:textId="77777777" w:rsidR="00A8332E" w:rsidRPr="00824BC0" w:rsidRDefault="00A8332E" w:rsidP="00A8332E">
            <w:pPr>
              <w:jc w:val="right"/>
              <w:rPr>
                <w:rFonts w:ascii="Times New Roman" w:hAnsi="Times New Roman" w:cs="Times New Roman"/>
                <w:sz w:val="24"/>
                <w:szCs w:val="24"/>
              </w:rPr>
            </w:pPr>
          </w:p>
        </w:tc>
      </w:tr>
      <w:tr w:rsidR="00A8332E" w:rsidRPr="00824BC0" w14:paraId="026E26CE" w14:textId="77777777" w:rsidTr="00362BDC">
        <w:tc>
          <w:tcPr>
            <w:tcW w:w="4246" w:type="dxa"/>
          </w:tcPr>
          <w:p w14:paraId="2EC63555" w14:textId="77777777" w:rsidR="00A8332E" w:rsidRPr="00824BC0" w:rsidRDefault="00A8332E" w:rsidP="00A8332E">
            <w:pPr>
              <w:jc w:val="both"/>
              <w:rPr>
                <w:rFonts w:ascii="Times New Roman" w:hAnsi="Times New Roman" w:cs="Times New Roman"/>
                <w:sz w:val="24"/>
                <w:szCs w:val="24"/>
              </w:rPr>
            </w:pPr>
            <w:r w:rsidRPr="00824BC0">
              <w:rPr>
                <w:rFonts w:ascii="Times New Roman" w:hAnsi="Times New Roman" w:cs="Times New Roman"/>
                <w:sz w:val="24"/>
                <w:szCs w:val="24"/>
              </w:rPr>
              <w:t>Accumulated Surplus</w:t>
            </w:r>
          </w:p>
        </w:tc>
        <w:tc>
          <w:tcPr>
            <w:tcW w:w="1430" w:type="dxa"/>
          </w:tcPr>
          <w:p w14:paraId="04F8C7B0"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351,739.34</w:t>
            </w:r>
          </w:p>
        </w:tc>
        <w:tc>
          <w:tcPr>
            <w:tcW w:w="248" w:type="dxa"/>
          </w:tcPr>
          <w:p w14:paraId="57115B31" w14:textId="77777777" w:rsidR="00A8332E" w:rsidRPr="00824BC0" w:rsidRDefault="00A8332E" w:rsidP="00A8332E">
            <w:pPr>
              <w:jc w:val="right"/>
              <w:rPr>
                <w:rFonts w:ascii="Times New Roman" w:hAnsi="Times New Roman" w:cs="Times New Roman"/>
                <w:sz w:val="24"/>
                <w:szCs w:val="24"/>
              </w:rPr>
            </w:pPr>
          </w:p>
        </w:tc>
        <w:tc>
          <w:tcPr>
            <w:tcW w:w="1435" w:type="dxa"/>
          </w:tcPr>
          <w:p w14:paraId="4FE43FBD" w14:textId="77777777" w:rsidR="00A8332E" w:rsidRPr="00824BC0" w:rsidRDefault="00A8332E" w:rsidP="00A8332E">
            <w:pPr>
              <w:jc w:val="right"/>
              <w:rPr>
                <w:rFonts w:ascii="Times New Roman" w:hAnsi="Times New Roman" w:cs="Times New Roman"/>
                <w:sz w:val="24"/>
                <w:szCs w:val="24"/>
              </w:rPr>
            </w:pPr>
          </w:p>
        </w:tc>
      </w:tr>
      <w:tr w:rsidR="00A8332E" w:rsidRPr="00824BC0" w14:paraId="2C4E92D8" w14:textId="77777777" w:rsidTr="00362BDC">
        <w:tc>
          <w:tcPr>
            <w:tcW w:w="4246" w:type="dxa"/>
          </w:tcPr>
          <w:p w14:paraId="56D36AF3" w14:textId="77777777" w:rsidR="00A8332E" w:rsidRPr="00824BC0" w:rsidRDefault="00A8332E" w:rsidP="00A8332E">
            <w:pPr>
              <w:ind w:firstLine="1458"/>
              <w:jc w:val="both"/>
              <w:rPr>
                <w:rFonts w:ascii="Times New Roman" w:hAnsi="Times New Roman" w:cs="Times New Roman"/>
                <w:sz w:val="24"/>
                <w:szCs w:val="24"/>
              </w:rPr>
            </w:pPr>
            <w:r w:rsidRPr="00824BC0">
              <w:rPr>
                <w:rFonts w:ascii="Times New Roman" w:hAnsi="Times New Roman" w:cs="Times New Roman"/>
                <w:sz w:val="24"/>
                <w:szCs w:val="24"/>
              </w:rPr>
              <w:t>Building</w:t>
            </w:r>
          </w:p>
        </w:tc>
        <w:tc>
          <w:tcPr>
            <w:tcW w:w="1430" w:type="dxa"/>
          </w:tcPr>
          <w:p w14:paraId="07BADC60" w14:textId="77777777" w:rsidR="00A8332E" w:rsidRPr="00824BC0" w:rsidRDefault="00A8332E" w:rsidP="00A8332E">
            <w:pPr>
              <w:jc w:val="right"/>
              <w:rPr>
                <w:rFonts w:ascii="Times New Roman" w:hAnsi="Times New Roman" w:cs="Times New Roman"/>
                <w:sz w:val="24"/>
                <w:szCs w:val="24"/>
              </w:rPr>
            </w:pPr>
          </w:p>
        </w:tc>
        <w:tc>
          <w:tcPr>
            <w:tcW w:w="248" w:type="dxa"/>
          </w:tcPr>
          <w:p w14:paraId="26A50F2A" w14:textId="77777777" w:rsidR="00A8332E" w:rsidRPr="00824BC0" w:rsidRDefault="00A8332E" w:rsidP="00A8332E">
            <w:pPr>
              <w:jc w:val="right"/>
              <w:rPr>
                <w:rFonts w:ascii="Times New Roman" w:hAnsi="Times New Roman" w:cs="Times New Roman"/>
                <w:sz w:val="24"/>
                <w:szCs w:val="24"/>
              </w:rPr>
            </w:pPr>
          </w:p>
        </w:tc>
        <w:tc>
          <w:tcPr>
            <w:tcW w:w="1435" w:type="dxa"/>
          </w:tcPr>
          <w:p w14:paraId="25439241"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₱799,600.00</w:t>
            </w:r>
          </w:p>
        </w:tc>
      </w:tr>
      <w:tr w:rsidR="00A8332E" w:rsidRPr="00824BC0" w14:paraId="2BABA6A4" w14:textId="77777777" w:rsidTr="00362BDC">
        <w:tc>
          <w:tcPr>
            <w:tcW w:w="4246" w:type="dxa"/>
          </w:tcPr>
          <w:p w14:paraId="5D642A08" w14:textId="77777777" w:rsidR="00A8332E" w:rsidRPr="00824BC0" w:rsidRDefault="00A8332E" w:rsidP="00A8332E">
            <w:pPr>
              <w:ind w:firstLine="1458"/>
              <w:jc w:val="both"/>
              <w:rPr>
                <w:rFonts w:ascii="Times New Roman" w:hAnsi="Times New Roman" w:cs="Times New Roman"/>
                <w:sz w:val="24"/>
                <w:szCs w:val="24"/>
              </w:rPr>
            </w:pPr>
            <w:r w:rsidRPr="00824BC0">
              <w:rPr>
                <w:rFonts w:ascii="Times New Roman" w:hAnsi="Times New Roman" w:cs="Times New Roman"/>
                <w:sz w:val="24"/>
                <w:szCs w:val="24"/>
              </w:rPr>
              <w:t>Accumulated Depreciation</w:t>
            </w:r>
          </w:p>
        </w:tc>
        <w:tc>
          <w:tcPr>
            <w:tcW w:w="1430" w:type="dxa"/>
          </w:tcPr>
          <w:p w14:paraId="66AD4C45" w14:textId="77777777" w:rsidR="00A8332E" w:rsidRPr="00824BC0" w:rsidRDefault="00A8332E" w:rsidP="00A8332E">
            <w:pPr>
              <w:jc w:val="right"/>
              <w:rPr>
                <w:rFonts w:ascii="Times New Roman" w:hAnsi="Times New Roman" w:cs="Times New Roman"/>
                <w:sz w:val="24"/>
                <w:szCs w:val="24"/>
              </w:rPr>
            </w:pPr>
          </w:p>
        </w:tc>
        <w:tc>
          <w:tcPr>
            <w:tcW w:w="248" w:type="dxa"/>
          </w:tcPr>
          <w:p w14:paraId="2153EB54" w14:textId="77777777" w:rsidR="00A8332E" w:rsidRPr="00824BC0" w:rsidRDefault="00A8332E" w:rsidP="00A8332E">
            <w:pPr>
              <w:jc w:val="right"/>
              <w:rPr>
                <w:rFonts w:ascii="Times New Roman" w:hAnsi="Times New Roman" w:cs="Times New Roman"/>
                <w:sz w:val="24"/>
                <w:szCs w:val="24"/>
              </w:rPr>
            </w:pPr>
          </w:p>
        </w:tc>
        <w:tc>
          <w:tcPr>
            <w:tcW w:w="1435" w:type="dxa"/>
          </w:tcPr>
          <w:p w14:paraId="2B77BD73"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351,739.34</w:t>
            </w:r>
          </w:p>
        </w:tc>
      </w:tr>
      <w:tr w:rsidR="00A8332E" w:rsidRPr="00824BC0" w14:paraId="61457FEA" w14:textId="77777777" w:rsidTr="00742B6D">
        <w:trPr>
          <w:trHeight w:val="694"/>
        </w:trPr>
        <w:tc>
          <w:tcPr>
            <w:tcW w:w="7359" w:type="dxa"/>
            <w:gridSpan w:val="4"/>
          </w:tcPr>
          <w:p w14:paraId="277342C6" w14:textId="77777777" w:rsidR="00A8332E" w:rsidRPr="00824BC0" w:rsidRDefault="00A8332E" w:rsidP="00A8332E">
            <w:pPr>
              <w:ind w:left="41" w:right="567" w:hanging="41"/>
              <w:jc w:val="both"/>
              <w:rPr>
                <w:rFonts w:ascii="Times New Roman" w:hAnsi="Times New Roman" w:cs="Times New Roman"/>
                <w:i/>
                <w:iCs/>
                <w:sz w:val="24"/>
                <w:szCs w:val="24"/>
              </w:rPr>
            </w:pPr>
            <w:r w:rsidRPr="00824BC0">
              <w:rPr>
                <w:rFonts w:ascii="Times New Roman" w:hAnsi="Times New Roman" w:cs="Times New Roman"/>
                <w:i/>
                <w:iCs/>
                <w:sz w:val="24"/>
                <w:szCs w:val="24"/>
              </w:rPr>
              <w:t>To record the adjustment on the cost of Building – Agri-Business Building and its corresponding depreciation</w:t>
            </w:r>
          </w:p>
          <w:p w14:paraId="7324AE74" w14:textId="6024E68D" w:rsidR="00DF2CDF" w:rsidRPr="00824BC0" w:rsidRDefault="00DF2CDF" w:rsidP="00A8332E">
            <w:pPr>
              <w:ind w:left="41" w:right="567" w:hanging="41"/>
              <w:jc w:val="both"/>
              <w:rPr>
                <w:rFonts w:ascii="Times New Roman" w:hAnsi="Times New Roman" w:cs="Times New Roman"/>
                <w:i/>
                <w:iCs/>
                <w:sz w:val="24"/>
                <w:szCs w:val="24"/>
              </w:rPr>
            </w:pPr>
          </w:p>
        </w:tc>
      </w:tr>
      <w:tr w:rsidR="00A8332E" w:rsidRPr="00824BC0" w14:paraId="66888325" w14:textId="77777777" w:rsidTr="00362BDC">
        <w:tc>
          <w:tcPr>
            <w:tcW w:w="4246" w:type="dxa"/>
          </w:tcPr>
          <w:p w14:paraId="0917F965" w14:textId="77777777" w:rsidR="00A8332E" w:rsidRPr="00824BC0" w:rsidRDefault="00A8332E" w:rsidP="00A8332E">
            <w:pPr>
              <w:jc w:val="both"/>
              <w:rPr>
                <w:rFonts w:ascii="Times New Roman" w:hAnsi="Times New Roman" w:cs="Times New Roman"/>
                <w:sz w:val="24"/>
                <w:szCs w:val="24"/>
              </w:rPr>
            </w:pPr>
            <w:r w:rsidRPr="00824BC0">
              <w:rPr>
                <w:rFonts w:ascii="Times New Roman" w:hAnsi="Times New Roman" w:cs="Times New Roman"/>
                <w:sz w:val="24"/>
                <w:szCs w:val="24"/>
              </w:rPr>
              <w:lastRenderedPageBreak/>
              <w:t>Semi-Expendable Furniture and Fixtures</w:t>
            </w:r>
          </w:p>
        </w:tc>
        <w:tc>
          <w:tcPr>
            <w:tcW w:w="1430" w:type="dxa"/>
          </w:tcPr>
          <w:p w14:paraId="77C75FD8"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₱278,000.00</w:t>
            </w:r>
          </w:p>
        </w:tc>
        <w:tc>
          <w:tcPr>
            <w:tcW w:w="248" w:type="dxa"/>
          </w:tcPr>
          <w:p w14:paraId="36B4DE9A" w14:textId="77777777" w:rsidR="00A8332E" w:rsidRPr="00824BC0" w:rsidRDefault="00A8332E" w:rsidP="00A8332E">
            <w:pPr>
              <w:jc w:val="right"/>
              <w:rPr>
                <w:rFonts w:ascii="Times New Roman" w:hAnsi="Times New Roman" w:cs="Times New Roman"/>
                <w:sz w:val="24"/>
                <w:szCs w:val="24"/>
              </w:rPr>
            </w:pPr>
          </w:p>
        </w:tc>
        <w:tc>
          <w:tcPr>
            <w:tcW w:w="1435" w:type="dxa"/>
          </w:tcPr>
          <w:p w14:paraId="53CC7A9C" w14:textId="77777777" w:rsidR="00A8332E" w:rsidRPr="00824BC0" w:rsidRDefault="00A8332E" w:rsidP="00A8332E">
            <w:pPr>
              <w:jc w:val="right"/>
              <w:rPr>
                <w:rFonts w:ascii="Times New Roman" w:hAnsi="Times New Roman" w:cs="Times New Roman"/>
                <w:sz w:val="24"/>
                <w:szCs w:val="24"/>
              </w:rPr>
            </w:pPr>
          </w:p>
        </w:tc>
      </w:tr>
      <w:tr w:rsidR="00A8332E" w:rsidRPr="00824BC0" w14:paraId="7B1192F9" w14:textId="77777777" w:rsidTr="00362BDC">
        <w:tc>
          <w:tcPr>
            <w:tcW w:w="4246" w:type="dxa"/>
          </w:tcPr>
          <w:p w14:paraId="1E1BFF6E" w14:textId="77777777" w:rsidR="00A8332E" w:rsidRPr="00824BC0" w:rsidRDefault="00A8332E" w:rsidP="00A8332E">
            <w:pPr>
              <w:jc w:val="both"/>
              <w:rPr>
                <w:rFonts w:ascii="Times New Roman" w:hAnsi="Times New Roman" w:cs="Times New Roman"/>
                <w:sz w:val="24"/>
                <w:szCs w:val="24"/>
              </w:rPr>
            </w:pPr>
            <w:r w:rsidRPr="00824BC0">
              <w:rPr>
                <w:rFonts w:ascii="Times New Roman" w:hAnsi="Times New Roman" w:cs="Times New Roman"/>
                <w:sz w:val="24"/>
                <w:szCs w:val="24"/>
              </w:rPr>
              <w:t xml:space="preserve">Semi-Expendable Office Equipment </w:t>
            </w:r>
            <w:r w:rsidRPr="00824BC0">
              <w:rPr>
                <w:rFonts w:ascii="Times New Roman" w:hAnsi="Times New Roman" w:cs="Times New Roman"/>
                <w:sz w:val="24"/>
                <w:szCs w:val="24"/>
              </w:rPr>
              <w:tab/>
            </w:r>
          </w:p>
        </w:tc>
        <w:tc>
          <w:tcPr>
            <w:tcW w:w="1430" w:type="dxa"/>
          </w:tcPr>
          <w:p w14:paraId="3322E266"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248,000.00</w:t>
            </w:r>
          </w:p>
        </w:tc>
        <w:tc>
          <w:tcPr>
            <w:tcW w:w="248" w:type="dxa"/>
          </w:tcPr>
          <w:p w14:paraId="5C5428D0" w14:textId="77777777" w:rsidR="00A8332E" w:rsidRPr="00824BC0" w:rsidRDefault="00A8332E" w:rsidP="00A8332E">
            <w:pPr>
              <w:jc w:val="right"/>
              <w:rPr>
                <w:rFonts w:ascii="Times New Roman" w:hAnsi="Times New Roman" w:cs="Times New Roman"/>
                <w:sz w:val="24"/>
                <w:szCs w:val="24"/>
              </w:rPr>
            </w:pPr>
          </w:p>
        </w:tc>
        <w:tc>
          <w:tcPr>
            <w:tcW w:w="1435" w:type="dxa"/>
          </w:tcPr>
          <w:p w14:paraId="23AE9186" w14:textId="77777777" w:rsidR="00A8332E" w:rsidRPr="00824BC0" w:rsidRDefault="00A8332E" w:rsidP="00A8332E">
            <w:pPr>
              <w:jc w:val="right"/>
              <w:rPr>
                <w:rFonts w:ascii="Times New Roman" w:hAnsi="Times New Roman" w:cs="Times New Roman"/>
                <w:sz w:val="24"/>
                <w:szCs w:val="24"/>
              </w:rPr>
            </w:pPr>
          </w:p>
        </w:tc>
      </w:tr>
      <w:tr w:rsidR="00A8332E" w:rsidRPr="00824BC0" w14:paraId="650419A2" w14:textId="77777777" w:rsidTr="00362BDC">
        <w:tc>
          <w:tcPr>
            <w:tcW w:w="4246" w:type="dxa"/>
          </w:tcPr>
          <w:p w14:paraId="6C405DBB" w14:textId="4E8E6BA0" w:rsidR="00A8332E" w:rsidRPr="00824BC0" w:rsidRDefault="00A8332E" w:rsidP="00A8332E">
            <w:pPr>
              <w:jc w:val="both"/>
              <w:rPr>
                <w:rFonts w:ascii="Times New Roman" w:hAnsi="Times New Roman" w:cs="Times New Roman"/>
                <w:sz w:val="24"/>
                <w:szCs w:val="24"/>
              </w:rPr>
            </w:pPr>
            <w:r w:rsidRPr="00824BC0">
              <w:rPr>
                <w:rFonts w:ascii="Times New Roman" w:hAnsi="Times New Roman" w:cs="Times New Roman"/>
                <w:sz w:val="24"/>
                <w:szCs w:val="24"/>
              </w:rPr>
              <w:t xml:space="preserve">Accumulated </w:t>
            </w:r>
            <w:r w:rsidR="00F2508A" w:rsidRPr="00824BC0">
              <w:rPr>
                <w:rFonts w:ascii="Times New Roman" w:hAnsi="Times New Roman" w:cs="Times New Roman"/>
                <w:sz w:val="24"/>
                <w:szCs w:val="24"/>
              </w:rPr>
              <w:t>Surplus</w:t>
            </w:r>
            <w:r w:rsidRPr="00824BC0">
              <w:rPr>
                <w:rFonts w:ascii="Times New Roman" w:hAnsi="Times New Roman" w:cs="Times New Roman"/>
                <w:sz w:val="24"/>
                <w:szCs w:val="24"/>
              </w:rPr>
              <w:tab/>
            </w:r>
          </w:p>
        </w:tc>
        <w:tc>
          <w:tcPr>
            <w:tcW w:w="1430" w:type="dxa"/>
          </w:tcPr>
          <w:p w14:paraId="7C58B1C3"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160,901.03</w:t>
            </w:r>
          </w:p>
        </w:tc>
        <w:tc>
          <w:tcPr>
            <w:tcW w:w="248" w:type="dxa"/>
          </w:tcPr>
          <w:p w14:paraId="71A87628" w14:textId="77777777" w:rsidR="00A8332E" w:rsidRPr="00824BC0" w:rsidRDefault="00A8332E" w:rsidP="00A8332E">
            <w:pPr>
              <w:jc w:val="right"/>
              <w:rPr>
                <w:rFonts w:ascii="Times New Roman" w:hAnsi="Times New Roman" w:cs="Times New Roman"/>
                <w:sz w:val="24"/>
                <w:szCs w:val="24"/>
              </w:rPr>
            </w:pPr>
          </w:p>
        </w:tc>
        <w:tc>
          <w:tcPr>
            <w:tcW w:w="1435" w:type="dxa"/>
          </w:tcPr>
          <w:p w14:paraId="66C9C128" w14:textId="77777777" w:rsidR="00A8332E" w:rsidRPr="00824BC0" w:rsidRDefault="00A8332E" w:rsidP="00A8332E">
            <w:pPr>
              <w:jc w:val="right"/>
              <w:rPr>
                <w:rFonts w:ascii="Times New Roman" w:hAnsi="Times New Roman" w:cs="Times New Roman"/>
                <w:sz w:val="24"/>
                <w:szCs w:val="24"/>
              </w:rPr>
            </w:pPr>
          </w:p>
        </w:tc>
      </w:tr>
      <w:tr w:rsidR="00A8332E" w:rsidRPr="00824BC0" w14:paraId="112060AD" w14:textId="77777777" w:rsidTr="00362BDC">
        <w:tc>
          <w:tcPr>
            <w:tcW w:w="4246" w:type="dxa"/>
          </w:tcPr>
          <w:p w14:paraId="69585096" w14:textId="77777777" w:rsidR="00A8332E" w:rsidRPr="00824BC0" w:rsidRDefault="00A8332E" w:rsidP="00A8332E">
            <w:pPr>
              <w:jc w:val="both"/>
              <w:rPr>
                <w:rFonts w:ascii="Times New Roman" w:hAnsi="Times New Roman" w:cs="Times New Roman"/>
                <w:sz w:val="24"/>
                <w:szCs w:val="24"/>
              </w:rPr>
            </w:pPr>
            <w:r w:rsidRPr="00824BC0">
              <w:rPr>
                <w:rFonts w:ascii="Times New Roman" w:hAnsi="Times New Roman" w:cs="Times New Roman"/>
                <w:sz w:val="24"/>
                <w:szCs w:val="24"/>
              </w:rPr>
              <w:tab/>
            </w:r>
            <w:r w:rsidRPr="00824BC0">
              <w:rPr>
                <w:rFonts w:ascii="Times New Roman" w:hAnsi="Times New Roman" w:cs="Times New Roman"/>
                <w:sz w:val="24"/>
                <w:szCs w:val="24"/>
              </w:rPr>
              <w:tab/>
              <w:t>Building</w:t>
            </w:r>
          </w:p>
        </w:tc>
        <w:tc>
          <w:tcPr>
            <w:tcW w:w="1430" w:type="dxa"/>
          </w:tcPr>
          <w:p w14:paraId="7C188A8B" w14:textId="77777777" w:rsidR="00A8332E" w:rsidRPr="00824BC0" w:rsidRDefault="00A8332E" w:rsidP="00A8332E">
            <w:pPr>
              <w:jc w:val="right"/>
              <w:rPr>
                <w:rFonts w:ascii="Times New Roman" w:hAnsi="Times New Roman" w:cs="Times New Roman"/>
                <w:sz w:val="24"/>
                <w:szCs w:val="24"/>
              </w:rPr>
            </w:pPr>
          </w:p>
        </w:tc>
        <w:tc>
          <w:tcPr>
            <w:tcW w:w="248" w:type="dxa"/>
          </w:tcPr>
          <w:p w14:paraId="5487E098" w14:textId="77777777" w:rsidR="00A8332E" w:rsidRPr="00824BC0" w:rsidRDefault="00A8332E" w:rsidP="00A8332E">
            <w:pPr>
              <w:jc w:val="right"/>
              <w:rPr>
                <w:rFonts w:ascii="Times New Roman" w:hAnsi="Times New Roman" w:cs="Times New Roman"/>
                <w:sz w:val="24"/>
                <w:szCs w:val="24"/>
              </w:rPr>
            </w:pPr>
          </w:p>
        </w:tc>
        <w:tc>
          <w:tcPr>
            <w:tcW w:w="1435" w:type="dxa"/>
          </w:tcPr>
          <w:p w14:paraId="7BC008D9"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₱526,000.00</w:t>
            </w:r>
          </w:p>
        </w:tc>
      </w:tr>
      <w:tr w:rsidR="00A8332E" w:rsidRPr="00824BC0" w14:paraId="50EA1183" w14:textId="77777777" w:rsidTr="00362BDC">
        <w:tc>
          <w:tcPr>
            <w:tcW w:w="4246" w:type="dxa"/>
          </w:tcPr>
          <w:p w14:paraId="2229796F" w14:textId="2AA82082" w:rsidR="00A8332E" w:rsidRPr="00824BC0" w:rsidRDefault="00A8332E" w:rsidP="00A8332E">
            <w:pPr>
              <w:jc w:val="both"/>
              <w:rPr>
                <w:rFonts w:ascii="Times New Roman" w:hAnsi="Times New Roman" w:cs="Times New Roman"/>
                <w:sz w:val="24"/>
                <w:szCs w:val="24"/>
              </w:rPr>
            </w:pPr>
            <w:r w:rsidRPr="00824BC0">
              <w:rPr>
                <w:rFonts w:ascii="Times New Roman" w:hAnsi="Times New Roman" w:cs="Times New Roman"/>
                <w:sz w:val="24"/>
                <w:szCs w:val="24"/>
              </w:rPr>
              <w:tab/>
            </w:r>
            <w:r w:rsidRPr="00824BC0">
              <w:rPr>
                <w:rFonts w:ascii="Times New Roman" w:hAnsi="Times New Roman" w:cs="Times New Roman"/>
                <w:sz w:val="24"/>
                <w:szCs w:val="24"/>
              </w:rPr>
              <w:tab/>
              <w:t xml:space="preserve">Accumulated </w:t>
            </w:r>
            <w:r w:rsidR="00F2508A" w:rsidRPr="00824BC0">
              <w:rPr>
                <w:rFonts w:ascii="Times New Roman" w:hAnsi="Times New Roman" w:cs="Times New Roman"/>
                <w:sz w:val="24"/>
                <w:szCs w:val="24"/>
              </w:rPr>
              <w:t>Depreciation</w:t>
            </w:r>
          </w:p>
        </w:tc>
        <w:tc>
          <w:tcPr>
            <w:tcW w:w="1430" w:type="dxa"/>
          </w:tcPr>
          <w:p w14:paraId="2C244DB9" w14:textId="77777777" w:rsidR="00A8332E" w:rsidRPr="00824BC0" w:rsidRDefault="00A8332E" w:rsidP="00A8332E">
            <w:pPr>
              <w:jc w:val="right"/>
              <w:rPr>
                <w:rFonts w:ascii="Times New Roman" w:hAnsi="Times New Roman" w:cs="Times New Roman"/>
                <w:sz w:val="24"/>
                <w:szCs w:val="24"/>
              </w:rPr>
            </w:pPr>
          </w:p>
        </w:tc>
        <w:tc>
          <w:tcPr>
            <w:tcW w:w="248" w:type="dxa"/>
          </w:tcPr>
          <w:p w14:paraId="07C6871B" w14:textId="77777777" w:rsidR="00A8332E" w:rsidRPr="00824BC0" w:rsidRDefault="00A8332E" w:rsidP="00A8332E">
            <w:pPr>
              <w:jc w:val="right"/>
              <w:rPr>
                <w:rFonts w:ascii="Times New Roman" w:hAnsi="Times New Roman" w:cs="Times New Roman"/>
                <w:sz w:val="24"/>
                <w:szCs w:val="24"/>
              </w:rPr>
            </w:pPr>
          </w:p>
        </w:tc>
        <w:tc>
          <w:tcPr>
            <w:tcW w:w="1435" w:type="dxa"/>
          </w:tcPr>
          <w:p w14:paraId="6639C291"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160,901.03</w:t>
            </w:r>
          </w:p>
        </w:tc>
      </w:tr>
      <w:tr w:rsidR="00A8332E" w:rsidRPr="00824BC0" w14:paraId="56E2EB39" w14:textId="77777777" w:rsidTr="00742B6D">
        <w:tc>
          <w:tcPr>
            <w:tcW w:w="7359" w:type="dxa"/>
            <w:gridSpan w:val="4"/>
          </w:tcPr>
          <w:p w14:paraId="3EAEAA74" w14:textId="77777777" w:rsidR="00A8332E" w:rsidRPr="00824BC0" w:rsidRDefault="00A8332E" w:rsidP="00A8332E">
            <w:pPr>
              <w:tabs>
                <w:tab w:val="left" w:pos="6136"/>
              </w:tabs>
              <w:ind w:right="-101" w:firstLine="41"/>
              <w:rPr>
                <w:rFonts w:ascii="Times New Roman" w:hAnsi="Times New Roman" w:cs="Times New Roman"/>
                <w:i/>
                <w:iCs/>
                <w:sz w:val="24"/>
                <w:szCs w:val="24"/>
              </w:rPr>
            </w:pPr>
            <w:r w:rsidRPr="00824BC0">
              <w:rPr>
                <w:rFonts w:ascii="Times New Roman" w:hAnsi="Times New Roman" w:cs="Times New Roman"/>
                <w:i/>
                <w:iCs/>
                <w:sz w:val="24"/>
                <w:szCs w:val="24"/>
              </w:rPr>
              <w:t>To record the adjustment on the recorded cost of Building – Animal Science Building and its corresponding depreciation</w:t>
            </w:r>
          </w:p>
          <w:p w14:paraId="30D2CB6B" w14:textId="77777777" w:rsidR="00014711" w:rsidRPr="00824BC0" w:rsidRDefault="00014711" w:rsidP="00014711">
            <w:pPr>
              <w:tabs>
                <w:tab w:val="left" w:pos="3130"/>
              </w:tabs>
              <w:ind w:firstLine="41"/>
              <w:rPr>
                <w:rFonts w:ascii="Times New Roman" w:hAnsi="Times New Roman" w:cs="Times New Roman"/>
                <w:sz w:val="24"/>
                <w:szCs w:val="24"/>
              </w:rPr>
            </w:pPr>
          </w:p>
          <w:p w14:paraId="70CF2C49" w14:textId="385505F8" w:rsidR="00086746" w:rsidRPr="00824BC0" w:rsidRDefault="00086746" w:rsidP="00014711">
            <w:pPr>
              <w:tabs>
                <w:tab w:val="left" w:pos="3130"/>
              </w:tabs>
              <w:ind w:firstLine="41"/>
              <w:rPr>
                <w:rFonts w:ascii="Times New Roman" w:hAnsi="Times New Roman" w:cs="Times New Roman"/>
                <w:sz w:val="24"/>
                <w:szCs w:val="24"/>
              </w:rPr>
            </w:pPr>
          </w:p>
        </w:tc>
      </w:tr>
      <w:tr w:rsidR="00A8332E" w:rsidRPr="00824BC0" w14:paraId="30AA9584" w14:textId="77777777" w:rsidTr="00362BDC">
        <w:tc>
          <w:tcPr>
            <w:tcW w:w="4246" w:type="dxa"/>
          </w:tcPr>
          <w:p w14:paraId="5A66C98A" w14:textId="77777777" w:rsidR="00A8332E" w:rsidRPr="00824BC0" w:rsidRDefault="00A8332E" w:rsidP="00A8332E">
            <w:pPr>
              <w:jc w:val="both"/>
              <w:rPr>
                <w:rFonts w:ascii="Times New Roman" w:hAnsi="Times New Roman" w:cs="Times New Roman"/>
                <w:sz w:val="24"/>
                <w:szCs w:val="24"/>
              </w:rPr>
            </w:pPr>
            <w:r w:rsidRPr="00824BC0">
              <w:rPr>
                <w:rFonts w:ascii="Times New Roman" w:hAnsi="Times New Roman" w:cs="Times New Roman"/>
                <w:sz w:val="24"/>
                <w:szCs w:val="24"/>
              </w:rPr>
              <w:t>Semi-Expendable Furniture and Fixtures</w:t>
            </w:r>
          </w:p>
        </w:tc>
        <w:tc>
          <w:tcPr>
            <w:tcW w:w="1430" w:type="dxa"/>
          </w:tcPr>
          <w:p w14:paraId="344E9930"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₱85,200.00</w:t>
            </w:r>
          </w:p>
        </w:tc>
        <w:tc>
          <w:tcPr>
            <w:tcW w:w="248" w:type="dxa"/>
          </w:tcPr>
          <w:p w14:paraId="4657890C" w14:textId="77777777" w:rsidR="00A8332E" w:rsidRPr="00824BC0" w:rsidRDefault="00A8332E" w:rsidP="00A8332E">
            <w:pPr>
              <w:jc w:val="right"/>
              <w:rPr>
                <w:rFonts w:ascii="Times New Roman" w:hAnsi="Times New Roman" w:cs="Times New Roman"/>
                <w:sz w:val="24"/>
                <w:szCs w:val="24"/>
              </w:rPr>
            </w:pPr>
          </w:p>
        </w:tc>
        <w:tc>
          <w:tcPr>
            <w:tcW w:w="1435" w:type="dxa"/>
          </w:tcPr>
          <w:p w14:paraId="27317D8F" w14:textId="77777777" w:rsidR="00A8332E" w:rsidRPr="00824BC0" w:rsidRDefault="00A8332E" w:rsidP="00A8332E">
            <w:pPr>
              <w:jc w:val="right"/>
              <w:rPr>
                <w:rFonts w:ascii="Times New Roman" w:hAnsi="Times New Roman" w:cs="Times New Roman"/>
                <w:sz w:val="24"/>
                <w:szCs w:val="24"/>
              </w:rPr>
            </w:pPr>
          </w:p>
        </w:tc>
      </w:tr>
      <w:tr w:rsidR="00A8332E" w:rsidRPr="00824BC0" w14:paraId="471AD611" w14:textId="77777777" w:rsidTr="00362BDC">
        <w:tc>
          <w:tcPr>
            <w:tcW w:w="4246" w:type="dxa"/>
          </w:tcPr>
          <w:p w14:paraId="1B36B622" w14:textId="77777777" w:rsidR="00A8332E" w:rsidRPr="00824BC0" w:rsidRDefault="00A8332E" w:rsidP="00A8332E">
            <w:pPr>
              <w:jc w:val="both"/>
              <w:rPr>
                <w:rFonts w:ascii="Times New Roman" w:hAnsi="Times New Roman" w:cs="Times New Roman"/>
                <w:sz w:val="24"/>
                <w:szCs w:val="24"/>
              </w:rPr>
            </w:pPr>
            <w:r w:rsidRPr="00824BC0">
              <w:rPr>
                <w:rFonts w:ascii="Times New Roman" w:hAnsi="Times New Roman" w:cs="Times New Roman"/>
                <w:sz w:val="24"/>
                <w:szCs w:val="24"/>
              </w:rPr>
              <w:t xml:space="preserve">Semi-Expendable Office Equipment </w:t>
            </w:r>
            <w:r w:rsidRPr="00824BC0">
              <w:rPr>
                <w:rFonts w:ascii="Times New Roman" w:hAnsi="Times New Roman" w:cs="Times New Roman"/>
                <w:sz w:val="24"/>
                <w:szCs w:val="24"/>
              </w:rPr>
              <w:tab/>
            </w:r>
          </w:p>
        </w:tc>
        <w:tc>
          <w:tcPr>
            <w:tcW w:w="1430" w:type="dxa"/>
          </w:tcPr>
          <w:p w14:paraId="1CF5ED47"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357,000.00</w:t>
            </w:r>
          </w:p>
        </w:tc>
        <w:tc>
          <w:tcPr>
            <w:tcW w:w="248" w:type="dxa"/>
          </w:tcPr>
          <w:p w14:paraId="219C75BE" w14:textId="77777777" w:rsidR="00A8332E" w:rsidRPr="00824BC0" w:rsidRDefault="00A8332E" w:rsidP="00A8332E">
            <w:pPr>
              <w:jc w:val="right"/>
              <w:rPr>
                <w:rFonts w:ascii="Times New Roman" w:hAnsi="Times New Roman" w:cs="Times New Roman"/>
                <w:sz w:val="24"/>
                <w:szCs w:val="24"/>
              </w:rPr>
            </w:pPr>
          </w:p>
        </w:tc>
        <w:tc>
          <w:tcPr>
            <w:tcW w:w="1435" w:type="dxa"/>
          </w:tcPr>
          <w:p w14:paraId="0A5DAF4D" w14:textId="77777777" w:rsidR="00A8332E" w:rsidRPr="00824BC0" w:rsidRDefault="00A8332E" w:rsidP="00A8332E">
            <w:pPr>
              <w:jc w:val="right"/>
              <w:rPr>
                <w:rFonts w:ascii="Times New Roman" w:hAnsi="Times New Roman" w:cs="Times New Roman"/>
                <w:sz w:val="24"/>
                <w:szCs w:val="24"/>
              </w:rPr>
            </w:pPr>
          </w:p>
        </w:tc>
      </w:tr>
      <w:tr w:rsidR="00A8332E" w:rsidRPr="00824BC0" w14:paraId="7962FD73" w14:textId="77777777" w:rsidTr="00362BDC">
        <w:tc>
          <w:tcPr>
            <w:tcW w:w="4246" w:type="dxa"/>
          </w:tcPr>
          <w:p w14:paraId="6B9333BF" w14:textId="3F019BF2" w:rsidR="00A8332E" w:rsidRPr="00824BC0" w:rsidRDefault="00A8332E" w:rsidP="00A8332E">
            <w:pPr>
              <w:jc w:val="both"/>
              <w:rPr>
                <w:rFonts w:ascii="Times New Roman" w:hAnsi="Times New Roman" w:cs="Times New Roman"/>
                <w:sz w:val="24"/>
                <w:szCs w:val="24"/>
              </w:rPr>
            </w:pPr>
            <w:r w:rsidRPr="00824BC0">
              <w:rPr>
                <w:rFonts w:ascii="Times New Roman" w:hAnsi="Times New Roman" w:cs="Times New Roman"/>
                <w:sz w:val="24"/>
                <w:szCs w:val="24"/>
              </w:rPr>
              <w:t>Accumulated</w:t>
            </w:r>
            <w:r w:rsidR="00F2508A" w:rsidRPr="00824BC0">
              <w:rPr>
                <w:rFonts w:ascii="Times New Roman" w:hAnsi="Times New Roman" w:cs="Times New Roman"/>
                <w:sz w:val="24"/>
                <w:szCs w:val="24"/>
              </w:rPr>
              <w:t xml:space="preserve"> Surplus </w:t>
            </w:r>
            <w:r w:rsidRPr="00824BC0">
              <w:rPr>
                <w:rFonts w:ascii="Times New Roman" w:hAnsi="Times New Roman" w:cs="Times New Roman"/>
                <w:sz w:val="24"/>
                <w:szCs w:val="24"/>
              </w:rPr>
              <w:tab/>
            </w:r>
          </w:p>
        </w:tc>
        <w:tc>
          <w:tcPr>
            <w:tcW w:w="1430" w:type="dxa"/>
          </w:tcPr>
          <w:p w14:paraId="093523F8" w14:textId="7F8DADDC" w:rsidR="00A8332E" w:rsidRPr="00824BC0" w:rsidRDefault="00AB2C63" w:rsidP="00A8332E">
            <w:pPr>
              <w:jc w:val="right"/>
              <w:rPr>
                <w:rFonts w:ascii="Times New Roman" w:hAnsi="Times New Roman" w:cs="Times New Roman"/>
                <w:sz w:val="24"/>
                <w:szCs w:val="24"/>
              </w:rPr>
            </w:pPr>
            <w:r w:rsidRPr="00824BC0">
              <w:rPr>
                <w:rFonts w:ascii="Times New Roman" w:hAnsi="Times New Roman" w:cs="Times New Roman"/>
                <w:sz w:val="24"/>
                <w:szCs w:val="24"/>
              </w:rPr>
              <w:t>335,198.88</w:t>
            </w:r>
          </w:p>
        </w:tc>
        <w:tc>
          <w:tcPr>
            <w:tcW w:w="248" w:type="dxa"/>
          </w:tcPr>
          <w:p w14:paraId="56B1A50D" w14:textId="77777777" w:rsidR="00A8332E" w:rsidRPr="00824BC0" w:rsidRDefault="00A8332E" w:rsidP="00A8332E">
            <w:pPr>
              <w:jc w:val="right"/>
              <w:rPr>
                <w:rFonts w:ascii="Times New Roman" w:hAnsi="Times New Roman" w:cs="Times New Roman"/>
                <w:sz w:val="24"/>
                <w:szCs w:val="24"/>
              </w:rPr>
            </w:pPr>
          </w:p>
        </w:tc>
        <w:tc>
          <w:tcPr>
            <w:tcW w:w="1435" w:type="dxa"/>
          </w:tcPr>
          <w:p w14:paraId="7815DA42" w14:textId="77777777" w:rsidR="00A8332E" w:rsidRPr="00824BC0" w:rsidRDefault="00A8332E" w:rsidP="00A8332E">
            <w:pPr>
              <w:jc w:val="right"/>
              <w:rPr>
                <w:rFonts w:ascii="Times New Roman" w:hAnsi="Times New Roman" w:cs="Times New Roman"/>
                <w:sz w:val="24"/>
                <w:szCs w:val="24"/>
              </w:rPr>
            </w:pPr>
          </w:p>
        </w:tc>
      </w:tr>
      <w:tr w:rsidR="00A8332E" w:rsidRPr="00824BC0" w14:paraId="79C02E09" w14:textId="77777777" w:rsidTr="00362BDC">
        <w:tc>
          <w:tcPr>
            <w:tcW w:w="4246" w:type="dxa"/>
          </w:tcPr>
          <w:p w14:paraId="65A21F22" w14:textId="77777777" w:rsidR="00A8332E" w:rsidRPr="00824BC0" w:rsidRDefault="00A8332E" w:rsidP="00A8332E">
            <w:pPr>
              <w:ind w:firstLine="1317"/>
              <w:jc w:val="both"/>
              <w:rPr>
                <w:rFonts w:ascii="Times New Roman" w:hAnsi="Times New Roman" w:cs="Times New Roman"/>
                <w:sz w:val="24"/>
                <w:szCs w:val="24"/>
              </w:rPr>
            </w:pPr>
            <w:r w:rsidRPr="00824BC0">
              <w:rPr>
                <w:rFonts w:ascii="Times New Roman" w:hAnsi="Times New Roman" w:cs="Times New Roman"/>
                <w:sz w:val="24"/>
                <w:szCs w:val="24"/>
              </w:rPr>
              <w:t>Building</w:t>
            </w:r>
          </w:p>
        </w:tc>
        <w:tc>
          <w:tcPr>
            <w:tcW w:w="1430" w:type="dxa"/>
          </w:tcPr>
          <w:p w14:paraId="17914D05" w14:textId="77777777" w:rsidR="00A8332E" w:rsidRPr="00824BC0" w:rsidRDefault="00A8332E" w:rsidP="00A8332E">
            <w:pPr>
              <w:jc w:val="right"/>
              <w:rPr>
                <w:rFonts w:ascii="Times New Roman" w:hAnsi="Times New Roman" w:cs="Times New Roman"/>
                <w:sz w:val="24"/>
                <w:szCs w:val="24"/>
              </w:rPr>
            </w:pPr>
          </w:p>
        </w:tc>
        <w:tc>
          <w:tcPr>
            <w:tcW w:w="248" w:type="dxa"/>
          </w:tcPr>
          <w:p w14:paraId="3C448159" w14:textId="77777777" w:rsidR="00A8332E" w:rsidRPr="00824BC0" w:rsidRDefault="00A8332E" w:rsidP="00A8332E">
            <w:pPr>
              <w:jc w:val="right"/>
              <w:rPr>
                <w:rFonts w:ascii="Times New Roman" w:hAnsi="Times New Roman" w:cs="Times New Roman"/>
                <w:sz w:val="24"/>
                <w:szCs w:val="24"/>
              </w:rPr>
            </w:pPr>
          </w:p>
        </w:tc>
        <w:tc>
          <w:tcPr>
            <w:tcW w:w="1435" w:type="dxa"/>
          </w:tcPr>
          <w:p w14:paraId="2B230694" w14:textId="77777777" w:rsidR="00A8332E" w:rsidRPr="00824BC0" w:rsidRDefault="00A8332E" w:rsidP="00A8332E">
            <w:pPr>
              <w:jc w:val="right"/>
              <w:rPr>
                <w:rFonts w:ascii="Times New Roman" w:hAnsi="Times New Roman" w:cs="Times New Roman"/>
                <w:sz w:val="24"/>
                <w:szCs w:val="24"/>
              </w:rPr>
            </w:pPr>
            <w:r w:rsidRPr="00824BC0">
              <w:rPr>
                <w:rFonts w:ascii="Times New Roman" w:hAnsi="Times New Roman" w:cs="Times New Roman"/>
                <w:sz w:val="24"/>
                <w:szCs w:val="24"/>
              </w:rPr>
              <w:t>₱442,200.00</w:t>
            </w:r>
          </w:p>
        </w:tc>
      </w:tr>
      <w:tr w:rsidR="00A8332E" w:rsidRPr="00824BC0" w14:paraId="78F95426" w14:textId="77777777" w:rsidTr="00362BDC">
        <w:tc>
          <w:tcPr>
            <w:tcW w:w="4246" w:type="dxa"/>
          </w:tcPr>
          <w:p w14:paraId="5CB2FA0A" w14:textId="47CA1241" w:rsidR="00A8332E" w:rsidRPr="00824BC0" w:rsidRDefault="00A8332E" w:rsidP="00A8332E">
            <w:pPr>
              <w:ind w:firstLine="1317"/>
              <w:jc w:val="both"/>
              <w:rPr>
                <w:rFonts w:ascii="Times New Roman" w:hAnsi="Times New Roman" w:cs="Times New Roman"/>
                <w:sz w:val="24"/>
                <w:szCs w:val="24"/>
              </w:rPr>
            </w:pPr>
            <w:r w:rsidRPr="00824BC0">
              <w:rPr>
                <w:rFonts w:ascii="Times New Roman" w:hAnsi="Times New Roman" w:cs="Times New Roman"/>
                <w:sz w:val="24"/>
                <w:szCs w:val="24"/>
              </w:rPr>
              <w:t xml:space="preserve">Accumulated </w:t>
            </w:r>
            <w:r w:rsidR="00F2508A" w:rsidRPr="00824BC0">
              <w:rPr>
                <w:rFonts w:ascii="Times New Roman" w:hAnsi="Times New Roman" w:cs="Times New Roman"/>
                <w:sz w:val="24"/>
                <w:szCs w:val="24"/>
              </w:rPr>
              <w:t>Depreciation</w:t>
            </w:r>
          </w:p>
        </w:tc>
        <w:tc>
          <w:tcPr>
            <w:tcW w:w="1430" w:type="dxa"/>
          </w:tcPr>
          <w:p w14:paraId="592F4BB1" w14:textId="77777777" w:rsidR="00A8332E" w:rsidRPr="00824BC0" w:rsidRDefault="00A8332E" w:rsidP="00A8332E">
            <w:pPr>
              <w:jc w:val="right"/>
              <w:rPr>
                <w:rFonts w:ascii="Times New Roman" w:hAnsi="Times New Roman" w:cs="Times New Roman"/>
                <w:sz w:val="24"/>
                <w:szCs w:val="24"/>
              </w:rPr>
            </w:pPr>
          </w:p>
        </w:tc>
        <w:tc>
          <w:tcPr>
            <w:tcW w:w="248" w:type="dxa"/>
          </w:tcPr>
          <w:p w14:paraId="06779B06" w14:textId="77777777" w:rsidR="00A8332E" w:rsidRPr="00824BC0" w:rsidRDefault="00A8332E" w:rsidP="00A8332E">
            <w:pPr>
              <w:jc w:val="right"/>
              <w:rPr>
                <w:rFonts w:ascii="Times New Roman" w:hAnsi="Times New Roman" w:cs="Times New Roman"/>
                <w:sz w:val="24"/>
                <w:szCs w:val="24"/>
              </w:rPr>
            </w:pPr>
          </w:p>
        </w:tc>
        <w:tc>
          <w:tcPr>
            <w:tcW w:w="1435" w:type="dxa"/>
          </w:tcPr>
          <w:p w14:paraId="3582E0DD" w14:textId="7BC87071" w:rsidR="00A8332E" w:rsidRPr="00824BC0" w:rsidRDefault="00AB2C63" w:rsidP="00A8332E">
            <w:pPr>
              <w:jc w:val="right"/>
              <w:rPr>
                <w:rFonts w:ascii="Times New Roman" w:hAnsi="Times New Roman" w:cs="Times New Roman"/>
                <w:sz w:val="24"/>
                <w:szCs w:val="24"/>
              </w:rPr>
            </w:pPr>
            <w:r w:rsidRPr="00824BC0">
              <w:rPr>
                <w:rFonts w:ascii="Times New Roman" w:hAnsi="Times New Roman" w:cs="Times New Roman"/>
                <w:sz w:val="24"/>
                <w:szCs w:val="24"/>
              </w:rPr>
              <w:t>335,198.88</w:t>
            </w:r>
          </w:p>
        </w:tc>
      </w:tr>
      <w:tr w:rsidR="00A8332E" w:rsidRPr="00824BC0" w14:paraId="737B3959" w14:textId="77777777" w:rsidTr="00014711">
        <w:trPr>
          <w:trHeight w:val="459"/>
        </w:trPr>
        <w:tc>
          <w:tcPr>
            <w:tcW w:w="7359" w:type="dxa"/>
            <w:gridSpan w:val="4"/>
          </w:tcPr>
          <w:p w14:paraId="101E3C28" w14:textId="77777777" w:rsidR="00A8332E" w:rsidRPr="00824BC0" w:rsidRDefault="00A8332E" w:rsidP="00A8332E">
            <w:pPr>
              <w:ind w:right="41"/>
              <w:rPr>
                <w:rFonts w:ascii="Times New Roman" w:hAnsi="Times New Roman" w:cs="Times New Roman"/>
                <w:i/>
                <w:iCs/>
                <w:sz w:val="24"/>
                <w:szCs w:val="24"/>
              </w:rPr>
            </w:pPr>
            <w:r w:rsidRPr="00824BC0">
              <w:rPr>
                <w:rFonts w:ascii="Times New Roman" w:hAnsi="Times New Roman" w:cs="Times New Roman"/>
                <w:i/>
                <w:iCs/>
                <w:sz w:val="24"/>
                <w:szCs w:val="24"/>
              </w:rPr>
              <w:t xml:space="preserve">To record the adjustment on the recorded cost of Building – 2-storey Information and Technology Laboratory Building </w:t>
            </w:r>
          </w:p>
          <w:p w14:paraId="7C0630AD" w14:textId="77777777" w:rsidR="00A8332E" w:rsidRPr="00824BC0" w:rsidRDefault="00A8332E" w:rsidP="00A8332E">
            <w:pPr>
              <w:rPr>
                <w:rFonts w:ascii="Times New Roman" w:hAnsi="Times New Roman" w:cs="Times New Roman"/>
                <w:sz w:val="24"/>
                <w:szCs w:val="24"/>
              </w:rPr>
            </w:pPr>
          </w:p>
          <w:p w14:paraId="72F671DE" w14:textId="13AA0172" w:rsidR="00014711" w:rsidRPr="00824BC0" w:rsidRDefault="00014711" w:rsidP="00A8332E">
            <w:pPr>
              <w:rPr>
                <w:rFonts w:ascii="Times New Roman" w:hAnsi="Times New Roman" w:cs="Times New Roman"/>
                <w:sz w:val="24"/>
                <w:szCs w:val="24"/>
              </w:rPr>
            </w:pPr>
          </w:p>
        </w:tc>
      </w:tr>
    </w:tbl>
    <w:p w14:paraId="04CA80DF" w14:textId="05B96712" w:rsidR="00A8332E" w:rsidRPr="00824BC0" w:rsidRDefault="00A8332E" w:rsidP="00A8332E">
      <w:pPr>
        <w:pStyle w:val="ListParagraph"/>
        <w:numPr>
          <w:ilvl w:val="0"/>
          <w:numId w:val="3"/>
        </w:numPr>
        <w:ind w:left="810" w:firstLine="0"/>
        <w:jc w:val="both"/>
        <w:rPr>
          <w:bCs/>
          <w:i/>
          <w:iCs/>
          <w:szCs w:val="24"/>
        </w:rPr>
      </w:pPr>
      <w:r w:rsidRPr="00824BC0">
        <w:rPr>
          <w:bCs/>
          <w:i/>
          <w:iCs/>
          <w:szCs w:val="24"/>
        </w:rPr>
        <w:t>Idle, obsolete and unserviceable PPEs</w:t>
      </w:r>
      <w:r w:rsidR="00F2508A" w:rsidRPr="00824BC0">
        <w:rPr>
          <w:bCs/>
          <w:i/>
          <w:iCs/>
          <w:szCs w:val="24"/>
        </w:rPr>
        <w:t xml:space="preserve"> – </w:t>
      </w:r>
      <w:r w:rsidR="00656AA4" w:rsidRPr="00824BC0">
        <w:rPr>
          <w:i/>
          <w:iCs/>
          <w:szCs w:val="24"/>
        </w:rPr>
        <w:t>₱</w:t>
      </w:r>
      <w:r w:rsidR="00F2508A" w:rsidRPr="00824BC0">
        <w:rPr>
          <w:bCs/>
          <w:i/>
          <w:iCs/>
          <w:szCs w:val="24"/>
        </w:rPr>
        <w:t>196,209.26</w:t>
      </w:r>
    </w:p>
    <w:p w14:paraId="67BE926C" w14:textId="77777777" w:rsidR="00A8332E" w:rsidRPr="00824BC0" w:rsidRDefault="00A8332E" w:rsidP="00A8332E">
      <w:pPr>
        <w:spacing w:after="0" w:line="240" w:lineRule="auto"/>
        <w:jc w:val="both"/>
        <w:rPr>
          <w:rFonts w:ascii="Times New Roman" w:hAnsi="Times New Roman" w:cs="Times New Roman"/>
          <w:b/>
          <w:bCs/>
          <w:i/>
          <w:iCs/>
          <w:sz w:val="24"/>
          <w:szCs w:val="24"/>
        </w:rPr>
      </w:pPr>
    </w:p>
    <w:p w14:paraId="150427E8" w14:textId="77777777" w:rsidR="00A8332E" w:rsidRPr="00824BC0" w:rsidRDefault="00A8332E" w:rsidP="00A8332E">
      <w:pPr>
        <w:pStyle w:val="ListParagraph"/>
        <w:numPr>
          <w:ilvl w:val="1"/>
          <w:numId w:val="5"/>
        </w:numPr>
        <w:ind w:left="0" w:firstLine="0"/>
        <w:jc w:val="both"/>
        <w:rPr>
          <w:szCs w:val="24"/>
        </w:rPr>
      </w:pPr>
      <w:r w:rsidRPr="00824BC0">
        <w:rPr>
          <w:szCs w:val="24"/>
        </w:rPr>
        <w:t>Section 79 of Presidential Decree (P.D.) No. 1445 provides that:</w:t>
      </w:r>
    </w:p>
    <w:p w14:paraId="5B7BAD9F" w14:textId="77777777" w:rsidR="00A8332E" w:rsidRPr="00824BC0" w:rsidRDefault="00A8332E" w:rsidP="005E4E88">
      <w:pPr>
        <w:spacing w:after="0" w:line="240" w:lineRule="auto"/>
        <w:jc w:val="both"/>
        <w:rPr>
          <w:rFonts w:ascii="Times New Roman" w:hAnsi="Times New Roman" w:cs="Times New Roman"/>
          <w:sz w:val="24"/>
          <w:szCs w:val="24"/>
        </w:rPr>
      </w:pPr>
      <w:r w:rsidRPr="00824BC0">
        <w:rPr>
          <w:rFonts w:ascii="Times New Roman" w:hAnsi="Times New Roman" w:cs="Times New Roman"/>
          <w:sz w:val="24"/>
          <w:szCs w:val="24"/>
        </w:rPr>
        <w:tab/>
      </w:r>
    </w:p>
    <w:p w14:paraId="32C08B66" w14:textId="77777777" w:rsidR="00A8332E" w:rsidRPr="00824BC0" w:rsidRDefault="00A8332E" w:rsidP="005E4E88">
      <w:pPr>
        <w:spacing w:after="0" w:line="240" w:lineRule="auto"/>
        <w:ind w:left="720" w:right="1083"/>
        <w:jc w:val="both"/>
        <w:rPr>
          <w:rFonts w:ascii="Times New Roman" w:hAnsi="Times New Roman" w:cs="Times New Roman"/>
          <w:i/>
          <w:iCs/>
          <w:sz w:val="24"/>
          <w:szCs w:val="24"/>
        </w:rPr>
      </w:pPr>
      <w:r w:rsidRPr="00824BC0">
        <w:rPr>
          <w:rFonts w:ascii="Times New Roman" w:hAnsi="Times New Roman" w:cs="Times New Roman"/>
          <w:i/>
          <w:iCs/>
          <w:sz w:val="24"/>
          <w:szCs w:val="24"/>
        </w:rPr>
        <w:t>Destruction or sale of unserviceable property. When government property has become unserviceable for any cause, or is no longer needed, it shall, upon application of the officer accountable therefore, be inspected by the head of the agency or his duly authorized representative in the presence of the auditor concerned and, if found to be valueless or unsalable, it may be destroyed in their presence. xxx</w:t>
      </w:r>
    </w:p>
    <w:p w14:paraId="1FB08B58" w14:textId="77777777" w:rsidR="00A8332E" w:rsidRPr="00824BC0" w:rsidRDefault="00A8332E" w:rsidP="00A8332E">
      <w:pPr>
        <w:spacing w:after="0" w:line="240" w:lineRule="auto"/>
        <w:jc w:val="both"/>
        <w:rPr>
          <w:rFonts w:ascii="Times New Roman" w:hAnsi="Times New Roman" w:cs="Times New Roman"/>
          <w:b/>
          <w:bCs/>
          <w:sz w:val="24"/>
          <w:szCs w:val="24"/>
        </w:rPr>
      </w:pPr>
    </w:p>
    <w:p w14:paraId="52DE66CA" w14:textId="0159314D" w:rsidR="00A8332E" w:rsidRPr="00824BC0" w:rsidRDefault="00A8332E" w:rsidP="00A8332E">
      <w:pPr>
        <w:pStyle w:val="ListParagraph"/>
        <w:numPr>
          <w:ilvl w:val="1"/>
          <w:numId w:val="5"/>
        </w:numPr>
        <w:ind w:left="0" w:firstLine="0"/>
        <w:jc w:val="both"/>
        <w:rPr>
          <w:rFonts w:eastAsia="Arial"/>
          <w:szCs w:val="24"/>
        </w:rPr>
      </w:pPr>
      <w:r w:rsidRPr="00824BC0">
        <w:rPr>
          <w:rFonts w:eastAsia="Arial"/>
          <w:szCs w:val="24"/>
        </w:rPr>
        <w:t xml:space="preserve">Further, the Manual on Disposal of Government Property embodied under NBC No. 425 dated January 28, 1992 was issued to guide agencies in their disposal undertakings. Part I (A) thereof provides, among others, that disposal occurs when a piece of equipment or property can no longer provide efficient service or, though still working, has been rendered useless due to obsolescence. </w:t>
      </w:r>
    </w:p>
    <w:p w14:paraId="391A3996" w14:textId="77777777" w:rsidR="00A8332E" w:rsidRPr="00824BC0" w:rsidRDefault="00A8332E" w:rsidP="00A8332E">
      <w:pPr>
        <w:autoSpaceDE w:val="0"/>
        <w:autoSpaceDN w:val="0"/>
        <w:adjustRightInd w:val="0"/>
        <w:spacing w:after="0" w:line="240" w:lineRule="auto"/>
        <w:ind w:firstLine="720"/>
        <w:jc w:val="both"/>
        <w:rPr>
          <w:rFonts w:ascii="Times New Roman" w:eastAsia="Arial" w:hAnsi="Times New Roman" w:cs="Times New Roman"/>
          <w:sz w:val="24"/>
          <w:szCs w:val="24"/>
        </w:rPr>
      </w:pPr>
    </w:p>
    <w:p w14:paraId="3E20000A" w14:textId="77777777" w:rsidR="00A8332E" w:rsidRPr="00824BC0" w:rsidRDefault="00A8332E" w:rsidP="00A8332E">
      <w:pPr>
        <w:pStyle w:val="ListParagraph"/>
        <w:numPr>
          <w:ilvl w:val="1"/>
          <w:numId w:val="5"/>
        </w:numPr>
        <w:ind w:left="0" w:firstLine="0"/>
        <w:jc w:val="both"/>
        <w:rPr>
          <w:rFonts w:eastAsia="Arial"/>
          <w:szCs w:val="24"/>
        </w:rPr>
      </w:pPr>
      <w:r w:rsidRPr="00824BC0">
        <w:rPr>
          <w:szCs w:val="24"/>
        </w:rPr>
        <w:t>Pertinent</w:t>
      </w:r>
      <w:r w:rsidRPr="00824BC0">
        <w:rPr>
          <w:rFonts w:eastAsia="Arial"/>
          <w:szCs w:val="24"/>
        </w:rPr>
        <w:t xml:space="preserve"> provisions under Section 40, Chapter 10 of GAM for NGAs are hereby quoted:</w:t>
      </w:r>
    </w:p>
    <w:p w14:paraId="6CAE6396" w14:textId="77777777" w:rsidR="00A8332E" w:rsidRPr="00824BC0" w:rsidRDefault="00A8332E" w:rsidP="00A8332E">
      <w:pPr>
        <w:autoSpaceDE w:val="0"/>
        <w:autoSpaceDN w:val="0"/>
        <w:adjustRightInd w:val="0"/>
        <w:spacing w:after="0" w:line="240" w:lineRule="auto"/>
        <w:ind w:firstLine="720"/>
        <w:jc w:val="both"/>
        <w:rPr>
          <w:rFonts w:ascii="Times New Roman" w:eastAsia="Arial" w:hAnsi="Times New Roman" w:cs="Times New Roman"/>
          <w:sz w:val="24"/>
          <w:szCs w:val="24"/>
        </w:rPr>
      </w:pPr>
    </w:p>
    <w:p w14:paraId="792F572B" w14:textId="77777777" w:rsidR="00A8332E" w:rsidRPr="00824BC0" w:rsidRDefault="00A8332E" w:rsidP="000D6661">
      <w:pPr>
        <w:pStyle w:val="ListParagraph"/>
        <w:numPr>
          <w:ilvl w:val="0"/>
          <w:numId w:val="2"/>
        </w:numPr>
        <w:autoSpaceDE w:val="0"/>
        <w:autoSpaceDN w:val="0"/>
        <w:adjustRightInd w:val="0"/>
        <w:ind w:left="1080" w:right="1080"/>
        <w:jc w:val="both"/>
        <w:rPr>
          <w:i/>
          <w:iCs/>
          <w:szCs w:val="24"/>
        </w:rPr>
      </w:pPr>
      <w:r w:rsidRPr="00824BC0">
        <w:rPr>
          <w:i/>
          <w:iCs/>
          <w:szCs w:val="24"/>
        </w:rPr>
        <w:t>A PPE is said to be unserviceable if it is no longer capable of providing the entity with future economic benefits or service potential.</w:t>
      </w:r>
    </w:p>
    <w:p w14:paraId="282FF932" w14:textId="77777777" w:rsidR="00A8332E" w:rsidRPr="00824BC0" w:rsidRDefault="00A8332E" w:rsidP="000D6661">
      <w:pPr>
        <w:pStyle w:val="ListParagraph"/>
        <w:autoSpaceDE w:val="0"/>
        <w:autoSpaceDN w:val="0"/>
        <w:adjustRightInd w:val="0"/>
        <w:ind w:left="1080" w:right="1080"/>
        <w:jc w:val="both"/>
        <w:rPr>
          <w:i/>
          <w:iCs/>
          <w:szCs w:val="24"/>
        </w:rPr>
      </w:pPr>
    </w:p>
    <w:p w14:paraId="5377AE48" w14:textId="77777777" w:rsidR="00A8332E" w:rsidRPr="00824BC0" w:rsidRDefault="00A8332E" w:rsidP="000D6661">
      <w:pPr>
        <w:pStyle w:val="ListParagraph"/>
        <w:numPr>
          <w:ilvl w:val="0"/>
          <w:numId w:val="2"/>
        </w:numPr>
        <w:autoSpaceDE w:val="0"/>
        <w:autoSpaceDN w:val="0"/>
        <w:adjustRightInd w:val="0"/>
        <w:ind w:left="1080" w:right="1080"/>
        <w:jc w:val="both"/>
        <w:rPr>
          <w:i/>
          <w:iCs/>
          <w:szCs w:val="24"/>
        </w:rPr>
      </w:pPr>
      <w:r w:rsidRPr="00824BC0">
        <w:rPr>
          <w:i/>
          <w:iCs/>
          <w:szCs w:val="24"/>
        </w:rPr>
        <w:t xml:space="preserve">All unserviceable property shall be reported in the Inventory and Inspection Report of Unserviceable Property (IIRUP) (Appendix 74). PPE reported in the IIRUP shall be dropped from the books by </w:t>
      </w:r>
      <w:r w:rsidRPr="00824BC0">
        <w:rPr>
          <w:i/>
          <w:iCs/>
          <w:szCs w:val="24"/>
        </w:rPr>
        <w:lastRenderedPageBreak/>
        <w:t>debiting Impairment Loss-Property, Plant and Equipment (cost of the PPE less Accumulated Depreciation).</w:t>
      </w:r>
    </w:p>
    <w:p w14:paraId="3165E60F" w14:textId="77777777" w:rsidR="00A8332E" w:rsidRPr="00824BC0" w:rsidRDefault="00A8332E" w:rsidP="00A8332E">
      <w:pPr>
        <w:spacing w:after="0" w:line="240" w:lineRule="auto"/>
        <w:jc w:val="both"/>
        <w:rPr>
          <w:rFonts w:ascii="Times New Roman" w:hAnsi="Times New Roman" w:cs="Times New Roman"/>
          <w:i/>
          <w:iCs/>
          <w:sz w:val="24"/>
          <w:szCs w:val="24"/>
        </w:rPr>
      </w:pPr>
    </w:p>
    <w:p w14:paraId="2D37A87D" w14:textId="77777777" w:rsidR="00A8332E" w:rsidRPr="00824BC0" w:rsidRDefault="00A8332E" w:rsidP="00A8332E">
      <w:pPr>
        <w:pStyle w:val="ListParagraph"/>
        <w:numPr>
          <w:ilvl w:val="1"/>
          <w:numId w:val="5"/>
        </w:numPr>
        <w:ind w:left="0" w:firstLine="0"/>
        <w:jc w:val="both"/>
        <w:rPr>
          <w:szCs w:val="24"/>
        </w:rPr>
      </w:pPr>
      <w:r w:rsidRPr="00824BC0">
        <w:rPr>
          <w:szCs w:val="24"/>
        </w:rPr>
        <w:t xml:space="preserve">The IIRUP as of December 31, 2021 submitted by the Property Officer to the Audit Team listed unserviceable PPE items with a total carrying value of ₱196,209.26, the details of which are shown in Appendix C. </w:t>
      </w:r>
    </w:p>
    <w:p w14:paraId="4B47917C" w14:textId="77777777" w:rsidR="00A8332E" w:rsidRPr="00824BC0" w:rsidRDefault="00A8332E" w:rsidP="00A8332E">
      <w:pPr>
        <w:spacing w:after="0" w:line="240" w:lineRule="auto"/>
        <w:jc w:val="both"/>
        <w:rPr>
          <w:rFonts w:ascii="Times New Roman" w:hAnsi="Times New Roman" w:cs="Times New Roman"/>
          <w:sz w:val="24"/>
          <w:szCs w:val="24"/>
        </w:rPr>
      </w:pPr>
    </w:p>
    <w:p w14:paraId="13A5263B" w14:textId="77777777" w:rsidR="00A8332E" w:rsidRPr="00824BC0" w:rsidRDefault="00A8332E" w:rsidP="00A8332E">
      <w:pPr>
        <w:pStyle w:val="ListParagraph"/>
        <w:numPr>
          <w:ilvl w:val="1"/>
          <w:numId w:val="5"/>
        </w:numPr>
        <w:ind w:left="0" w:firstLine="0"/>
        <w:jc w:val="both"/>
        <w:rPr>
          <w:szCs w:val="24"/>
        </w:rPr>
      </w:pPr>
      <w:r w:rsidRPr="00824BC0">
        <w:rPr>
          <w:szCs w:val="24"/>
        </w:rPr>
        <w:t xml:space="preserve">Verification of financial records and inquiry with the Accountant disclosed that the unserviceable items were still carried in the books of the University as of December 31, 2021, overstating the reported balances of the affected PPEs in the FS by their carrying amounts since they no longer qualify as assets as of year-end. </w:t>
      </w:r>
    </w:p>
    <w:p w14:paraId="41B8534A" w14:textId="77777777" w:rsidR="00A8332E" w:rsidRPr="00824BC0" w:rsidRDefault="00A8332E" w:rsidP="00A8332E">
      <w:pPr>
        <w:spacing w:after="0" w:line="240" w:lineRule="auto"/>
        <w:jc w:val="both"/>
        <w:rPr>
          <w:rFonts w:ascii="Times New Roman" w:hAnsi="Times New Roman" w:cs="Times New Roman"/>
          <w:sz w:val="24"/>
          <w:szCs w:val="24"/>
        </w:rPr>
      </w:pPr>
    </w:p>
    <w:p w14:paraId="57601E04" w14:textId="5762ED90" w:rsidR="00A8332E" w:rsidRPr="00824BC0" w:rsidRDefault="00A8332E" w:rsidP="00A8332E">
      <w:pPr>
        <w:pStyle w:val="ListParagraph"/>
        <w:numPr>
          <w:ilvl w:val="1"/>
          <w:numId w:val="5"/>
        </w:numPr>
        <w:ind w:left="0" w:firstLine="0"/>
        <w:jc w:val="both"/>
        <w:rPr>
          <w:szCs w:val="24"/>
        </w:rPr>
      </w:pPr>
      <w:r w:rsidRPr="00824BC0">
        <w:rPr>
          <w:szCs w:val="24"/>
        </w:rPr>
        <w:t xml:space="preserve">Additionally, the failure to initiate disposal proceedings resulted to further deterioration of the property and consequent depreciation in </w:t>
      </w:r>
      <w:r w:rsidR="00BA575D">
        <w:rPr>
          <w:szCs w:val="24"/>
        </w:rPr>
        <w:t>their</w:t>
      </w:r>
      <w:r w:rsidRPr="00824BC0">
        <w:rPr>
          <w:szCs w:val="24"/>
        </w:rPr>
        <w:t xml:space="preserve"> value. A systematic and timely disposal will yield benefits to the College in terms of a higher appraised value/selling price and wider space/storage areas available for other purposes.</w:t>
      </w:r>
    </w:p>
    <w:p w14:paraId="1D6C5B05" w14:textId="77777777" w:rsidR="00A8332E" w:rsidRPr="00824BC0" w:rsidRDefault="00A8332E" w:rsidP="00A8332E">
      <w:pPr>
        <w:spacing w:after="0" w:line="240" w:lineRule="auto"/>
        <w:jc w:val="both"/>
        <w:rPr>
          <w:rFonts w:ascii="Times New Roman" w:hAnsi="Times New Roman" w:cs="Times New Roman"/>
          <w:b/>
          <w:bCs/>
          <w:sz w:val="24"/>
          <w:szCs w:val="24"/>
        </w:rPr>
      </w:pPr>
    </w:p>
    <w:p w14:paraId="60EC80F1" w14:textId="72CF0D8E" w:rsidR="00A8332E" w:rsidRPr="00824BC0" w:rsidRDefault="00A8332E" w:rsidP="00A8332E">
      <w:pPr>
        <w:pStyle w:val="ListParagraph"/>
        <w:numPr>
          <w:ilvl w:val="1"/>
          <w:numId w:val="5"/>
        </w:numPr>
        <w:ind w:left="0" w:firstLine="0"/>
        <w:jc w:val="both"/>
        <w:rPr>
          <w:b/>
          <w:bCs/>
          <w:szCs w:val="24"/>
        </w:rPr>
      </w:pPr>
      <w:r w:rsidRPr="00824BC0">
        <w:rPr>
          <w:b/>
          <w:bCs/>
          <w:szCs w:val="24"/>
        </w:rPr>
        <w:t>In view of the foregoing, we recommend</w:t>
      </w:r>
      <w:r w:rsidR="002A30DE" w:rsidRPr="00824BC0">
        <w:rPr>
          <w:b/>
          <w:bCs/>
          <w:szCs w:val="24"/>
        </w:rPr>
        <w:t>ed and</w:t>
      </w:r>
      <w:r w:rsidRPr="00824BC0">
        <w:rPr>
          <w:b/>
          <w:bCs/>
          <w:szCs w:val="24"/>
        </w:rPr>
        <w:t xml:space="preserve"> Management</w:t>
      </w:r>
      <w:r w:rsidR="002A30DE" w:rsidRPr="00824BC0">
        <w:rPr>
          <w:b/>
          <w:bCs/>
          <w:szCs w:val="24"/>
        </w:rPr>
        <w:t xml:space="preserve"> agreed to</w:t>
      </w:r>
      <w:r w:rsidRPr="00824BC0">
        <w:rPr>
          <w:b/>
          <w:bCs/>
          <w:szCs w:val="24"/>
        </w:rPr>
        <w:t>:</w:t>
      </w:r>
    </w:p>
    <w:p w14:paraId="6C1B8B3E" w14:textId="77777777" w:rsidR="00A8332E" w:rsidRPr="00824BC0" w:rsidRDefault="00A8332E" w:rsidP="00A8332E">
      <w:pPr>
        <w:spacing w:after="0" w:line="240" w:lineRule="auto"/>
        <w:jc w:val="both"/>
        <w:rPr>
          <w:rFonts w:ascii="Times New Roman" w:hAnsi="Times New Roman" w:cs="Times New Roman"/>
          <w:sz w:val="24"/>
          <w:szCs w:val="24"/>
        </w:rPr>
      </w:pPr>
    </w:p>
    <w:p w14:paraId="77B9C6BA" w14:textId="5B9194E3" w:rsidR="00A8332E" w:rsidRPr="00824BC0" w:rsidRDefault="00A8332E" w:rsidP="002A30DE">
      <w:pPr>
        <w:pStyle w:val="ListParagraph"/>
        <w:numPr>
          <w:ilvl w:val="0"/>
          <w:numId w:val="4"/>
        </w:numPr>
        <w:ind w:left="720"/>
        <w:jc w:val="both"/>
        <w:rPr>
          <w:b/>
          <w:bCs/>
          <w:szCs w:val="24"/>
        </w:rPr>
      </w:pPr>
      <w:r w:rsidRPr="00824BC0">
        <w:rPr>
          <w:b/>
          <w:bCs/>
          <w:szCs w:val="24"/>
        </w:rPr>
        <w:t xml:space="preserve">direct the Accountant and </w:t>
      </w:r>
      <w:r w:rsidR="005E4E88" w:rsidRPr="00824BC0">
        <w:rPr>
          <w:b/>
          <w:bCs/>
          <w:szCs w:val="24"/>
        </w:rPr>
        <w:t xml:space="preserve">the </w:t>
      </w:r>
      <w:r w:rsidRPr="00824BC0">
        <w:rPr>
          <w:b/>
          <w:bCs/>
          <w:szCs w:val="24"/>
        </w:rPr>
        <w:t xml:space="preserve">Property Officer to adjust the books of accounts and property records, as warranted, once the results </w:t>
      </w:r>
      <w:r w:rsidR="005E4E88" w:rsidRPr="00824BC0">
        <w:rPr>
          <w:b/>
          <w:bCs/>
          <w:szCs w:val="24"/>
        </w:rPr>
        <w:t xml:space="preserve">of reconciliation </w:t>
      </w:r>
      <w:r w:rsidRPr="00824BC0">
        <w:rPr>
          <w:b/>
          <w:bCs/>
          <w:szCs w:val="24"/>
        </w:rPr>
        <w:t xml:space="preserve">have been established; </w:t>
      </w:r>
    </w:p>
    <w:p w14:paraId="2D09BB7E" w14:textId="77777777" w:rsidR="00A8332E" w:rsidRPr="00824BC0" w:rsidRDefault="00A8332E" w:rsidP="002A30DE">
      <w:pPr>
        <w:pStyle w:val="ListParagraph"/>
        <w:jc w:val="both"/>
        <w:rPr>
          <w:b/>
          <w:bCs/>
          <w:szCs w:val="24"/>
        </w:rPr>
      </w:pPr>
    </w:p>
    <w:p w14:paraId="696A963B" w14:textId="251DE74F" w:rsidR="00A8332E" w:rsidRPr="00824BC0" w:rsidRDefault="00A8332E" w:rsidP="002A30DE">
      <w:pPr>
        <w:pStyle w:val="ListParagraph"/>
        <w:numPr>
          <w:ilvl w:val="0"/>
          <w:numId w:val="4"/>
        </w:numPr>
        <w:ind w:left="720"/>
        <w:jc w:val="both"/>
        <w:rPr>
          <w:b/>
          <w:bCs/>
          <w:szCs w:val="24"/>
        </w:rPr>
      </w:pPr>
      <w:r w:rsidRPr="00824BC0">
        <w:rPr>
          <w:b/>
          <w:bCs/>
          <w:szCs w:val="24"/>
        </w:rPr>
        <w:t>require the Accountant to draw the appropriate adjusting entries to properly recognize the office equipment and semi-expendable items</w:t>
      </w:r>
      <w:r w:rsidR="005E4E88" w:rsidRPr="00824BC0">
        <w:rPr>
          <w:b/>
          <w:bCs/>
          <w:szCs w:val="24"/>
        </w:rPr>
        <w:t xml:space="preserve"> misclassified under </w:t>
      </w:r>
      <w:r w:rsidRPr="00824BC0">
        <w:rPr>
          <w:b/>
          <w:bCs/>
          <w:szCs w:val="24"/>
        </w:rPr>
        <w:t>the Building and Other Structures accounts, as well as other affected accounts, to</w:t>
      </w:r>
      <w:r w:rsidR="005E4E88" w:rsidRPr="00824BC0">
        <w:rPr>
          <w:b/>
          <w:bCs/>
          <w:szCs w:val="24"/>
        </w:rPr>
        <w:t xml:space="preserve"> ensure</w:t>
      </w:r>
      <w:r w:rsidRPr="00824BC0">
        <w:rPr>
          <w:b/>
          <w:bCs/>
          <w:szCs w:val="24"/>
        </w:rPr>
        <w:t xml:space="preserve"> that </w:t>
      </w:r>
      <w:r w:rsidR="005E4E88" w:rsidRPr="00824BC0">
        <w:rPr>
          <w:b/>
          <w:bCs/>
          <w:szCs w:val="24"/>
        </w:rPr>
        <w:t xml:space="preserve">the </w:t>
      </w:r>
      <w:r w:rsidRPr="00824BC0">
        <w:rPr>
          <w:b/>
          <w:bCs/>
          <w:szCs w:val="24"/>
        </w:rPr>
        <w:t>financial reports represent reliable information; and</w:t>
      </w:r>
    </w:p>
    <w:p w14:paraId="39123DE2" w14:textId="77777777" w:rsidR="00A8332E" w:rsidRPr="00824BC0" w:rsidRDefault="00A8332E" w:rsidP="002A30DE">
      <w:pPr>
        <w:pStyle w:val="ListParagraph"/>
        <w:jc w:val="both"/>
        <w:rPr>
          <w:b/>
          <w:bCs/>
          <w:szCs w:val="24"/>
        </w:rPr>
      </w:pPr>
    </w:p>
    <w:p w14:paraId="0BDCE8E3" w14:textId="5370086B" w:rsidR="00A8332E" w:rsidRPr="00824BC0" w:rsidRDefault="00A8332E" w:rsidP="002A30DE">
      <w:pPr>
        <w:pStyle w:val="ListParagraph"/>
        <w:numPr>
          <w:ilvl w:val="0"/>
          <w:numId w:val="4"/>
        </w:numPr>
        <w:ind w:left="720"/>
        <w:jc w:val="both"/>
        <w:rPr>
          <w:b/>
          <w:bCs/>
          <w:szCs w:val="24"/>
        </w:rPr>
      </w:pPr>
      <w:r w:rsidRPr="00824BC0">
        <w:rPr>
          <w:b/>
          <w:bCs/>
          <w:szCs w:val="24"/>
        </w:rPr>
        <w:t>initiate proper disposal procedures for the unserviceable PPEs and direct the Accountant to derecognize</w:t>
      </w:r>
      <w:r w:rsidR="005E4E88" w:rsidRPr="00824BC0">
        <w:rPr>
          <w:b/>
          <w:bCs/>
          <w:szCs w:val="24"/>
        </w:rPr>
        <w:t xml:space="preserve"> the same </w:t>
      </w:r>
      <w:r w:rsidR="00BA575D">
        <w:rPr>
          <w:b/>
          <w:bCs/>
          <w:szCs w:val="24"/>
        </w:rPr>
        <w:t xml:space="preserve">in the books </w:t>
      </w:r>
      <w:r w:rsidRPr="00824BC0">
        <w:rPr>
          <w:b/>
          <w:bCs/>
          <w:szCs w:val="24"/>
        </w:rPr>
        <w:t xml:space="preserve">based on the IIRUP prepared by the Property Officer.  </w:t>
      </w:r>
    </w:p>
    <w:p w14:paraId="61232B31" w14:textId="0CE67EB0" w:rsidR="001F7655" w:rsidRPr="00824BC0" w:rsidRDefault="001F7655" w:rsidP="00A8332E">
      <w:pPr>
        <w:spacing w:after="0" w:line="240" w:lineRule="auto"/>
        <w:jc w:val="both"/>
        <w:rPr>
          <w:rFonts w:ascii="Times New Roman" w:hAnsi="Times New Roman" w:cs="Times New Roman"/>
          <w:b/>
          <w:bCs/>
          <w:sz w:val="24"/>
          <w:szCs w:val="24"/>
          <w:lang w:val="en-US"/>
        </w:rPr>
      </w:pPr>
    </w:p>
    <w:p w14:paraId="0196D12D" w14:textId="67EB9F7E" w:rsidR="002A30DE" w:rsidRPr="00824BC0" w:rsidRDefault="002A30DE" w:rsidP="00A8332E">
      <w:pPr>
        <w:spacing w:after="0" w:line="240" w:lineRule="auto"/>
        <w:jc w:val="both"/>
        <w:rPr>
          <w:rFonts w:ascii="Times New Roman" w:hAnsi="Times New Roman" w:cs="Times New Roman"/>
          <w:sz w:val="24"/>
          <w:szCs w:val="24"/>
          <w:lang w:val="en-US"/>
        </w:rPr>
      </w:pPr>
      <w:r w:rsidRPr="00824BC0">
        <w:rPr>
          <w:rFonts w:ascii="Times New Roman" w:hAnsi="Times New Roman" w:cs="Times New Roman"/>
          <w:i/>
          <w:iCs/>
          <w:sz w:val="24"/>
          <w:szCs w:val="24"/>
          <w:lang w:val="en-US"/>
        </w:rPr>
        <w:t>Management Comments:</w:t>
      </w:r>
    </w:p>
    <w:p w14:paraId="555293E4" w14:textId="5C0079FA" w:rsidR="002A30DE" w:rsidRPr="00824BC0" w:rsidRDefault="002A30DE" w:rsidP="00A8332E">
      <w:pPr>
        <w:spacing w:after="0" w:line="240" w:lineRule="auto"/>
        <w:jc w:val="both"/>
        <w:rPr>
          <w:rFonts w:ascii="Times New Roman" w:hAnsi="Times New Roman" w:cs="Times New Roman"/>
          <w:sz w:val="24"/>
          <w:szCs w:val="24"/>
          <w:lang w:val="en-US"/>
        </w:rPr>
      </w:pPr>
    </w:p>
    <w:p w14:paraId="19545818" w14:textId="62244BB9" w:rsidR="002A30DE" w:rsidRPr="00824BC0" w:rsidRDefault="002A30DE" w:rsidP="00C93787">
      <w:pPr>
        <w:pStyle w:val="ListParagraph"/>
        <w:numPr>
          <w:ilvl w:val="1"/>
          <w:numId w:val="5"/>
        </w:numPr>
        <w:ind w:left="0" w:firstLine="0"/>
        <w:jc w:val="both"/>
        <w:rPr>
          <w:szCs w:val="24"/>
        </w:rPr>
      </w:pPr>
      <w:r w:rsidRPr="00824BC0">
        <w:rPr>
          <w:szCs w:val="24"/>
        </w:rPr>
        <w:t xml:space="preserve">In </w:t>
      </w:r>
      <w:r w:rsidR="005E4E88" w:rsidRPr="00824BC0">
        <w:rPr>
          <w:szCs w:val="24"/>
        </w:rPr>
        <w:t>Management’s</w:t>
      </w:r>
      <w:r w:rsidRPr="00824BC0">
        <w:rPr>
          <w:szCs w:val="24"/>
        </w:rPr>
        <w:t xml:space="preserve"> </w:t>
      </w:r>
      <w:r w:rsidR="00A072B5" w:rsidRPr="00824BC0">
        <w:rPr>
          <w:szCs w:val="24"/>
        </w:rPr>
        <w:t xml:space="preserve">written </w:t>
      </w:r>
      <w:r w:rsidRPr="00824BC0">
        <w:rPr>
          <w:szCs w:val="24"/>
        </w:rPr>
        <w:t xml:space="preserve">reply to AOM No. </w:t>
      </w:r>
      <w:r w:rsidR="00A072B5" w:rsidRPr="00824BC0">
        <w:rPr>
          <w:szCs w:val="24"/>
        </w:rPr>
        <w:t>2022-07(2021) dated March 29, 2022,</w:t>
      </w:r>
      <w:r w:rsidR="00447E0B" w:rsidRPr="00824BC0">
        <w:rPr>
          <w:szCs w:val="24"/>
        </w:rPr>
        <w:t xml:space="preserve"> the University officials concerned</w:t>
      </w:r>
      <w:r w:rsidR="00A072B5" w:rsidRPr="00824BC0">
        <w:rPr>
          <w:szCs w:val="24"/>
        </w:rPr>
        <w:t xml:space="preserve"> expressed their appreciation of the observations and recommendations made by the Audit Team on the PPE </w:t>
      </w:r>
      <w:r w:rsidR="00447E0B" w:rsidRPr="00824BC0">
        <w:rPr>
          <w:szCs w:val="24"/>
        </w:rPr>
        <w:t xml:space="preserve">accounts </w:t>
      </w:r>
      <w:r w:rsidR="00A072B5" w:rsidRPr="00824BC0">
        <w:rPr>
          <w:szCs w:val="24"/>
        </w:rPr>
        <w:t xml:space="preserve">as of December 31, 2021.  The following actions have been made </w:t>
      </w:r>
      <w:r w:rsidR="00742B87" w:rsidRPr="00824BC0">
        <w:rPr>
          <w:szCs w:val="24"/>
        </w:rPr>
        <w:t xml:space="preserve">by Management </w:t>
      </w:r>
      <w:r w:rsidR="00A072B5" w:rsidRPr="00824BC0">
        <w:rPr>
          <w:szCs w:val="24"/>
        </w:rPr>
        <w:t>as of this writing:</w:t>
      </w:r>
    </w:p>
    <w:p w14:paraId="5584972D" w14:textId="5AA87DD3" w:rsidR="00A072B5" w:rsidRPr="00824BC0" w:rsidRDefault="00A072B5" w:rsidP="00A8332E">
      <w:pPr>
        <w:spacing w:after="0" w:line="240" w:lineRule="auto"/>
        <w:jc w:val="both"/>
        <w:rPr>
          <w:rFonts w:ascii="Times New Roman" w:hAnsi="Times New Roman" w:cs="Times New Roman"/>
          <w:sz w:val="24"/>
          <w:szCs w:val="24"/>
          <w:lang w:val="en-US"/>
        </w:rPr>
      </w:pPr>
    </w:p>
    <w:p w14:paraId="0CEFF7C0" w14:textId="5224D25C" w:rsidR="00A072B5" w:rsidRPr="00824BC0" w:rsidRDefault="00A072B5" w:rsidP="004C0E25">
      <w:pPr>
        <w:pStyle w:val="ListParagraph"/>
        <w:numPr>
          <w:ilvl w:val="0"/>
          <w:numId w:val="6"/>
        </w:numPr>
        <w:ind w:left="720"/>
        <w:jc w:val="both"/>
        <w:rPr>
          <w:szCs w:val="24"/>
        </w:rPr>
      </w:pPr>
      <w:r w:rsidRPr="00824BC0">
        <w:rPr>
          <w:szCs w:val="24"/>
        </w:rPr>
        <w:t xml:space="preserve">The College </w:t>
      </w:r>
      <w:r w:rsidR="00D4597D" w:rsidRPr="00824BC0">
        <w:rPr>
          <w:szCs w:val="24"/>
        </w:rPr>
        <w:t xml:space="preserve">President </w:t>
      </w:r>
      <w:r w:rsidRPr="00824BC0">
        <w:rPr>
          <w:szCs w:val="24"/>
        </w:rPr>
        <w:t xml:space="preserve">issued Memorandum </w:t>
      </w:r>
      <w:r w:rsidR="004C0E25" w:rsidRPr="00824BC0">
        <w:rPr>
          <w:szCs w:val="24"/>
        </w:rPr>
        <w:t xml:space="preserve">No. 2022-07 dated March 24, 2022 directing </w:t>
      </w:r>
      <w:r w:rsidRPr="00824BC0">
        <w:rPr>
          <w:szCs w:val="24"/>
        </w:rPr>
        <w:t xml:space="preserve">the College Accountant and the Property Officer </w:t>
      </w:r>
      <w:r w:rsidR="004C0E25" w:rsidRPr="00824BC0">
        <w:rPr>
          <w:szCs w:val="24"/>
        </w:rPr>
        <w:t xml:space="preserve">to make </w:t>
      </w:r>
      <w:r w:rsidRPr="00824BC0">
        <w:rPr>
          <w:szCs w:val="24"/>
        </w:rPr>
        <w:t>the necessary adjustments in the book of accounts and property records.  To date, they have completed the reconciliation of the records</w:t>
      </w:r>
      <w:r w:rsidR="004C0E25" w:rsidRPr="00824BC0">
        <w:rPr>
          <w:szCs w:val="24"/>
        </w:rPr>
        <w:t xml:space="preserve"> and a copy of the report was </w:t>
      </w:r>
      <w:r w:rsidR="00B04D1B" w:rsidRPr="00824BC0">
        <w:rPr>
          <w:szCs w:val="24"/>
        </w:rPr>
        <w:t xml:space="preserve">provided </w:t>
      </w:r>
      <w:r w:rsidR="004C0E25" w:rsidRPr="00824BC0">
        <w:rPr>
          <w:szCs w:val="24"/>
        </w:rPr>
        <w:t>to the Audit Team;</w:t>
      </w:r>
    </w:p>
    <w:p w14:paraId="650AE82C" w14:textId="77777777" w:rsidR="004C0E25" w:rsidRPr="00824BC0" w:rsidRDefault="004C0E25" w:rsidP="004C0E25">
      <w:pPr>
        <w:pStyle w:val="ListParagraph"/>
        <w:jc w:val="both"/>
        <w:rPr>
          <w:szCs w:val="24"/>
        </w:rPr>
      </w:pPr>
    </w:p>
    <w:p w14:paraId="79F677CA" w14:textId="49603A94" w:rsidR="004C0E25" w:rsidRPr="00824BC0" w:rsidRDefault="004C0E25" w:rsidP="004C0E25">
      <w:pPr>
        <w:pStyle w:val="ListParagraph"/>
        <w:numPr>
          <w:ilvl w:val="0"/>
          <w:numId w:val="6"/>
        </w:numPr>
        <w:ind w:left="720"/>
        <w:jc w:val="both"/>
        <w:rPr>
          <w:szCs w:val="24"/>
        </w:rPr>
      </w:pPr>
      <w:r w:rsidRPr="00824BC0">
        <w:rPr>
          <w:szCs w:val="24"/>
        </w:rPr>
        <w:lastRenderedPageBreak/>
        <w:t xml:space="preserve">Adjusting entries were drawn </w:t>
      </w:r>
      <w:r w:rsidR="00FB4E63" w:rsidRPr="00824BC0">
        <w:rPr>
          <w:szCs w:val="24"/>
        </w:rPr>
        <w:t xml:space="preserve">in January 2022 </w:t>
      </w:r>
      <w:r w:rsidRPr="00824BC0">
        <w:rPr>
          <w:szCs w:val="24"/>
        </w:rPr>
        <w:t>to properly recognize the office equipment and semi-expendable items incorporated in the Building and Other Structures accounts, as well as the other affected accounts.  Copies of the Journal Entry Vouchers (JEVs) were submitted to the Audit Team</w:t>
      </w:r>
      <w:r w:rsidR="005643D9" w:rsidRPr="00824BC0">
        <w:rPr>
          <w:szCs w:val="24"/>
        </w:rPr>
        <w:t>;</w:t>
      </w:r>
    </w:p>
    <w:p w14:paraId="6C4365C0" w14:textId="77777777" w:rsidR="005643D9" w:rsidRPr="00824BC0" w:rsidRDefault="005643D9" w:rsidP="005643D9">
      <w:pPr>
        <w:pStyle w:val="ListParagraph"/>
        <w:rPr>
          <w:szCs w:val="24"/>
        </w:rPr>
      </w:pPr>
    </w:p>
    <w:p w14:paraId="0AA16243" w14:textId="6BAFCE79" w:rsidR="005643D9" w:rsidRPr="00824BC0" w:rsidRDefault="005643D9" w:rsidP="004C0E25">
      <w:pPr>
        <w:pStyle w:val="ListParagraph"/>
        <w:numPr>
          <w:ilvl w:val="0"/>
          <w:numId w:val="6"/>
        </w:numPr>
        <w:ind w:left="720"/>
        <w:jc w:val="both"/>
        <w:rPr>
          <w:szCs w:val="24"/>
        </w:rPr>
      </w:pPr>
      <w:r w:rsidRPr="00824BC0">
        <w:rPr>
          <w:szCs w:val="24"/>
        </w:rPr>
        <w:t>The College Accountant will prepare the JEV for the deduction of unserviceable PPE upon approval of the IIRUP.</w:t>
      </w:r>
    </w:p>
    <w:p w14:paraId="1C1D4AC8" w14:textId="77777777" w:rsidR="005643D9" w:rsidRPr="00824BC0" w:rsidRDefault="005643D9" w:rsidP="00C93787">
      <w:pPr>
        <w:pStyle w:val="ListParagraph"/>
        <w:rPr>
          <w:sz w:val="26"/>
          <w:szCs w:val="26"/>
        </w:rPr>
      </w:pPr>
    </w:p>
    <w:p w14:paraId="5290E7E6" w14:textId="41A68412" w:rsidR="005643D9" w:rsidRPr="00824BC0" w:rsidRDefault="00DF2CDF" w:rsidP="00D4597D">
      <w:pPr>
        <w:pStyle w:val="ListParagraph"/>
        <w:numPr>
          <w:ilvl w:val="1"/>
          <w:numId w:val="5"/>
        </w:numPr>
        <w:ind w:left="0" w:firstLine="0"/>
        <w:jc w:val="both"/>
        <w:rPr>
          <w:szCs w:val="26"/>
        </w:rPr>
      </w:pPr>
      <w:r w:rsidRPr="00824BC0">
        <w:rPr>
          <w:szCs w:val="26"/>
        </w:rPr>
        <w:t>During the exit conference held on March 31, 2022, the Audit Team reminded Management that</w:t>
      </w:r>
      <w:r w:rsidR="00D4597D" w:rsidRPr="00824BC0">
        <w:rPr>
          <w:szCs w:val="26"/>
        </w:rPr>
        <w:t xml:space="preserve"> </w:t>
      </w:r>
      <w:r w:rsidRPr="00824BC0">
        <w:rPr>
          <w:szCs w:val="26"/>
        </w:rPr>
        <w:t xml:space="preserve">proper procedures must be observed during the disposal of unserviceable PPE.  The College President responded in the affirmative and instructed the officials concerned to perform the disposal procedures </w:t>
      </w:r>
      <w:r w:rsidR="00D005ED" w:rsidRPr="00824BC0">
        <w:rPr>
          <w:szCs w:val="26"/>
        </w:rPr>
        <w:t xml:space="preserve">to </w:t>
      </w:r>
      <w:r w:rsidR="00447E0B" w:rsidRPr="00824BC0">
        <w:rPr>
          <w:szCs w:val="26"/>
        </w:rPr>
        <w:t>make</w:t>
      </w:r>
      <w:r w:rsidR="00D005ED" w:rsidRPr="00824BC0">
        <w:rPr>
          <w:szCs w:val="26"/>
        </w:rPr>
        <w:t xml:space="preserve"> the storage areas available for other purposes.</w:t>
      </w:r>
    </w:p>
    <w:p w14:paraId="009E8C2A" w14:textId="355FD88A" w:rsidR="00DF2CDF" w:rsidRPr="00824BC0" w:rsidRDefault="00DF2CDF" w:rsidP="00C93787">
      <w:pPr>
        <w:spacing w:after="0" w:line="240" w:lineRule="auto"/>
        <w:jc w:val="both"/>
        <w:rPr>
          <w:rFonts w:ascii="Times New Roman" w:hAnsi="Times New Roman" w:cs="Times New Roman"/>
          <w:sz w:val="24"/>
          <w:szCs w:val="26"/>
        </w:rPr>
      </w:pPr>
    </w:p>
    <w:p w14:paraId="3902F5EF" w14:textId="41A19675" w:rsidR="00133E63" w:rsidRPr="00824BC0" w:rsidRDefault="00133E63" w:rsidP="00C93787">
      <w:pPr>
        <w:spacing w:after="0" w:line="240" w:lineRule="auto"/>
        <w:jc w:val="both"/>
        <w:rPr>
          <w:rFonts w:ascii="Times New Roman" w:hAnsi="Times New Roman" w:cs="Times New Roman"/>
          <w:sz w:val="24"/>
          <w:szCs w:val="26"/>
        </w:rPr>
      </w:pPr>
    </w:p>
    <w:p w14:paraId="377FC84B" w14:textId="77777777" w:rsidR="00133E63" w:rsidRPr="00824BC0" w:rsidRDefault="00133E63" w:rsidP="00133E63">
      <w:pPr>
        <w:pStyle w:val="ListParagraph"/>
        <w:ind w:left="0"/>
        <w:jc w:val="both"/>
        <w:rPr>
          <w:i/>
          <w:szCs w:val="24"/>
        </w:rPr>
      </w:pPr>
      <w:r w:rsidRPr="00824BC0">
        <w:rPr>
          <w:i/>
          <w:szCs w:val="24"/>
        </w:rPr>
        <w:t>Inaccurate Inventory account balances – ₱32.999 million</w:t>
      </w:r>
    </w:p>
    <w:p w14:paraId="3C33BCB0" w14:textId="77777777" w:rsidR="00133E63" w:rsidRPr="00824BC0" w:rsidRDefault="00133E63" w:rsidP="00133E63">
      <w:pPr>
        <w:pStyle w:val="ListParagraph"/>
        <w:ind w:left="0"/>
        <w:jc w:val="both"/>
        <w:rPr>
          <w:szCs w:val="24"/>
        </w:rPr>
      </w:pPr>
    </w:p>
    <w:p w14:paraId="27DA84CE" w14:textId="12AD6D99" w:rsidR="00133E63" w:rsidRPr="00824BC0" w:rsidRDefault="00133E63" w:rsidP="00133E63">
      <w:pPr>
        <w:pStyle w:val="ListParagraph"/>
        <w:numPr>
          <w:ilvl w:val="0"/>
          <w:numId w:val="5"/>
        </w:numPr>
        <w:ind w:left="0" w:firstLine="0"/>
        <w:jc w:val="both"/>
        <w:rPr>
          <w:b/>
          <w:bCs/>
          <w:i/>
          <w:iCs/>
          <w:szCs w:val="24"/>
        </w:rPr>
      </w:pPr>
      <w:r w:rsidRPr="00824BC0">
        <w:rPr>
          <w:b/>
          <w:bCs/>
          <w:i/>
          <w:iCs/>
          <w:szCs w:val="24"/>
        </w:rPr>
        <w:t xml:space="preserve">The accuracy of the </w:t>
      </w:r>
      <w:r w:rsidR="00447E0B" w:rsidRPr="00824BC0">
        <w:rPr>
          <w:b/>
          <w:bCs/>
          <w:i/>
          <w:iCs/>
          <w:szCs w:val="24"/>
        </w:rPr>
        <w:t>reported</w:t>
      </w:r>
      <w:r w:rsidRPr="00824BC0">
        <w:rPr>
          <w:b/>
          <w:bCs/>
          <w:i/>
          <w:iCs/>
          <w:szCs w:val="24"/>
        </w:rPr>
        <w:t xml:space="preserve"> Inventories as of December 31, 2021 </w:t>
      </w:r>
      <w:r w:rsidR="00447E0B" w:rsidRPr="00824BC0">
        <w:rPr>
          <w:b/>
          <w:bCs/>
          <w:i/>
          <w:iCs/>
          <w:szCs w:val="24"/>
        </w:rPr>
        <w:t>with a carrying amount of</w:t>
      </w:r>
      <w:r w:rsidRPr="00824BC0">
        <w:rPr>
          <w:b/>
          <w:bCs/>
          <w:i/>
          <w:iCs/>
          <w:szCs w:val="24"/>
        </w:rPr>
        <w:t xml:space="preserve"> ₱32,998,737.71 remained doubtful due to (a) unreconciled difference </w:t>
      </w:r>
      <w:r w:rsidR="00FF29C9" w:rsidRPr="00824BC0">
        <w:rPr>
          <w:b/>
          <w:bCs/>
          <w:i/>
          <w:iCs/>
          <w:szCs w:val="24"/>
        </w:rPr>
        <w:t xml:space="preserve">of ₱934,280.98 </w:t>
      </w:r>
      <w:r w:rsidRPr="00824BC0">
        <w:rPr>
          <w:b/>
          <w:bCs/>
          <w:i/>
          <w:iCs/>
          <w:szCs w:val="24"/>
        </w:rPr>
        <w:t xml:space="preserve">between the </w:t>
      </w:r>
      <w:r w:rsidR="007A3880" w:rsidRPr="00824BC0">
        <w:rPr>
          <w:b/>
          <w:bCs/>
          <w:i/>
          <w:iCs/>
          <w:szCs w:val="24"/>
        </w:rPr>
        <w:t>A</w:t>
      </w:r>
      <w:r w:rsidRPr="00824BC0">
        <w:rPr>
          <w:b/>
          <w:bCs/>
          <w:i/>
          <w:iCs/>
          <w:szCs w:val="24"/>
        </w:rPr>
        <w:t xml:space="preserve">ccounting and </w:t>
      </w:r>
      <w:r w:rsidR="007A3880" w:rsidRPr="00824BC0">
        <w:rPr>
          <w:b/>
          <w:bCs/>
          <w:i/>
          <w:iCs/>
          <w:szCs w:val="24"/>
        </w:rPr>
        <w:t>P</w:t>
      </w:r>
      <w:r w:rsidRPr="00824BC0">
        <w:rPr>
          <w:b/>
          <w:bCs/>
          <w:i/>
          <w:iCs/>
          <w:szCs w:val="24"/>
        </w:rPr>
        <w:t xml:space="preserve">roperty records; and (b) incomplete Supplies Ledger Cards (SLCs) maintained by the Accounting Unit, </w:t>
      </w:r>
      <w:r w:rsidR="00FF29C9" w:rsidRPr="00824BC0">
        <w:rPr>
          <w:b/>
          <w:bCs/>
          <w:i/>
          <w:iCs/>
          <w:szCs w:val="24"/>
        </w:rPr>
        <w:t>inconsistent with</w:t>
      </w:r>
      <w:r w:rsidRPr="00824BC0">
        <w:rPr>
          <w:b/>
          <w:bCs/>
          <w:i/>
          <w:iCs/>
          <w:szCs w:val="24"/>
        </w:rPr>
        <w:t xml:space="preserve"> the Instructions provided in Appendix 57 of the Government Accounting Manual (GAM) for National Government Agencies (NGAs), Volume II. </w:t>
      </w:r>
    </w:p>
    <w:p w14:paraId="052596A6" w14:textId="77777777" w:rsidR="00133E63" w:rsidRPr="00824BC0" w:rsidRDefault="00133E63" w:rsidP="00133E63">
      <w:pPr>
        <w:pStyle w:val="ListParagraph"/>
        <w:jc w:val="both"/>
        <w:rPr>
          <w:b/>
          <w:bCs/>
          <w:szCs w:val="24"/>
        </w:rPr>
      </w:pPr>
    </w:p>
    <w:p w14:paraId="0E11208B" w14:textId="77777777" w:rsidR="00133E63" w:rsidRPr="00824BC0" w:rsidRDefault="00133E63" w:rsidP="00133E63">
      <w:pPr>
        <w:pStyle w:val="ListParagraph"/>
        <w:numPr>
          <w:ilvl w:val="1"/>
          <w:numId w:val="5"/>
        </w:numPr>
        <w:ind w:left="0" w:firstLine="0"/>
        <w:jc w:val="both"/>
        <w:rPr>
          <w:szCs w:val="24"/>
        </w:rPr>
      </w:pPr>
      <w:r w:rsidRPr="00824BC0">
        <w:rPr>
          <w:szCs w:val="24"/>
        </w:rPr>
        <w:t>To establish the reliability of the balances reported in the Financial Statements (FS), the Audit Team compared the Report on Physical Count of Inventories (RCPI) submitted by the Property Unit with the Accounting records and a difference of ₱</w:t>
      </w:r>
      <w:r w:rsidRPr="00824BC0">
        <w:rPr>
          <w:szCs w:val="24"/>
          <w:lang w:eastAsia="en-PH"/>
        </w:rPr>
        <w:t xml:space="preserve">943,280.98 </w:t>
      </w:r>
      <w:r w:rsidRPr="00824BC0">
        <w:rPr>
          <w:szCs w:val="24"/>
        </w:rPr>
        <w:t>was noted, broken down as follows:</w:t>
      </w:r>
    </w:p>
    <w:p w14:paraId="421A3DDA" w14:textId="77777777" w:rsidR="00133E63" w:rsidRPr="00824BC0" w:rsidRDefault="00133E63" w:rsidP="00133E63">
      <w:pPr>
        <w:pStyle w:val="ListParagraph"/>
        <w:jc w:val="both"/>
        <w:rPr>
          <w:szCs w:val="24"/>
        </w:rPr>
      </w:pPr>
    </w:p>
    <w:tbl>
      <w:tblPr>
        <w:tblW w:w="8635" w:type="dxa"/>
        <w:tblLook w:val="04A0" w:firstRow="1" w:lastRow="0" w:firstColumn="1" w:lastColumn="0" w:noHBand="0" w:noVBand="1"/>
      </w:tblPr>
      <w:tblGrid>
        <w:gridCol w:w="3556"/>
        <w:gridCol w:w="1880"/>
        <w:gridCol w:w="1743"/>
        <w:gridCol w:w="1456"/>
      </w:tblGrid>
      <w:tr w:rsidR="00133E63" w:rsidRPr="00824BC0" w14:paraId="3DD02348" w14:textId="77777777" w:rsidTr="004420EE">
        <w:trPr>
          <w:trHeight w:val="570"/>
          <w:tblHeader/>
        </w:trPr>
        <w:tc>
          <w:tcPr>
            <w:tcW w:w="3654"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03C3A75F" w14:textId="77777777" w:rsidR="00133E63" w:rsidRPr="00824BC0" w:rsidRDefault="00133E63" w:rsidP="004420EE">
            <w:pPr>
              <w:spacing w:after="0" w:line="240" w:lineRule="auto"/>
              <w:jc w:val="center"/>
              <w:rPr>
                <w:rFonts w:ascii="Times New Roman" w:hAnsi="Times New Roman" w:cs="Times New Roman"/>
                <w:b/>
                <w:bCs/>
                <w:sz w:val="24"/>
                <w:szCs w:val="24"/>
                <w:lang w:eastAsia="en-PH"/>
              </w:rPr>
            </w:pPr>
            <w:r w:rsidRPr="00824BC0">
              <w:rPr>
                <w:rFonts w:ascii="Times New Roman" w:hAnsi="Times New Roman" w:cs="Times New Roman"/>
                <w:b/>
                <w:bCs/>
                <w:sz w:val="24"/>
                <w:szCs w:val="24"/>
                <w:lang w:eastAsia="en-PH"/>
              </w:rPr>
              <w:t>Account</w:t>
            </w:r>
          </w:p>
        </w:tc>
        <w:tc>
          <w:tcPr>
            <w:tcW w:w="1888" w:type="dxa"/>
            <w:tcBorders>
              <w:top w:val="single" w:sz="4" w:space="0" w:color="auto"/>
              <w:left w:val="nil"/>
              <w:bottom w:val="single" w:sz="4" w:space="0" w:color="auto"/>
              <w:right w:val="single" w:sz="4" w:space="0" w:color="auto"/>
            </w:tcBorders>
            <w:shd w:val="clear" w:color="auto" w:fill="AEAAAA" w:themeFill="background2" w:themeFillShade="BF"/>
            <w:vAlign w:val="bottom"/>
            <w:hideMark/>
          </w:tcPr>
          <w:p w14:paraId="03F88C75" w14:textId="77777777" w:rsidR="00133E63" w:rsidRPr="00824BC0" w:rsidRDefault="00133E63" w:rsidP="004420EE">
            <w:pPr>
              <w:spacing w:after="0" w:line="240" w:lineRule="auto"/>
              <w:jc w:val="center"/>
              <w:rPr>
                <w:rFonts w:ascii="Times New Roman" w:hAnsi="Times New Roman" w:cs="Times New Roman"/>
                <w:b/>
                <w:bCs/>
                <w:sz w:val="24"/>
                <w:szCs w:val="24"/>
                <w:lang w:eastAsia="en-PH"/>
              </w:rPr>
            </w:pPr>
            <w:r w:rsidRPr="00824BC0">
              <w:rPr>
                <w:rFonts w:ascii="Times New Roman" w:hAnsi="Times New Roman" w:cs="Times New Roman"/>
                <w:b/>
                <w:bCs/>
                <w:sz w:val="24"/>
                <w:szCs w:val="24"/>
                <w:lang w:eastAsia="en-PH"/>
              </w:rPr>
              <w:t xml:space="preserve"> Per Accounting Records  </w:t>
            </w:r>
          </w:p>
        </w:tc>
        <w:tc>
          <w:tcPr>
            <w:tcW w:w="1743" w:type="dxa"/>
            <w:tcBorders>
              <w:top w:val="single" w:sz="4" w:space="0" w:color="auto"/>
              <w:left w:val="nil"/>
              <w:bottom w:val="single" w:sz="4" w:space="0" w:color="auto"/>
              <w:right w:val="single" w:sz="4" w:space="0" w:color="auto"/>
            </w:tcBorders>
            <w:shd w:val="clear" w:color="auto" w:fill="AEAAAA" w:themeFill="background2" w:themeFillShade="BF"/>
            <w:vAlign w:val="bottom"/>
            <w:hideMark/>
          </w:tcPr>
          <w:p w14:paraId="713106AB" w14:textId="77777777" w:rsidR="00133E63" w:rsidRPr="00824BC0" w:rsidRDefault="00133E63" w:rsidP="004420EE">
            <w:pPr>
              <w:spacing w:after="0" w:line="240" w:lineRule="auto"/>
              <w:jc w:val="center"/>
              <w:rPr>
                <w:rFonts w:ascii="Times New Roman" w:hAnsi="Times New Roman" w:cs="Times New Roman"/>
                <w:b/>
                <w:bCs/>
                <w:sz w:val="24"/>
                <w:szCs w:val="24"/>
                <w:lang w:eastAsia="en-PH"/>
              </w:rPr>
            </w:pPr>
            <w:r w:rsidRPr="00824BC0">
              <w:rPr>
                <w:rFonts w:ascii="Times New Roman" w:hAnsi="Times New Roman" w:cs="Times New Roman"/>
                <w:b/>
                <w:bCs/>
                <w:sz w:val="24"/>
                <w:szCs w:val="24"/>
                <w:lang w:eastAsia="en-PH"/>
              </w:rPr>
              <w:t xml:space="preserve">Per Property Records </w:t>
            </w:r>
          </w:p>
        </w:tc>
        <w:tc>
          <w:tcPr>
            <w:tcW w:w="1350" w:type="dxa"/>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00D9C7BC" w14:textId="77777777" w:rsidR="00133E63" w:rsidRPr="00824BC0" w:rsidRDefault="00133E63" w:rsidP="004420EE">
            <w:pPr>
              <w:spacing w:after="0" w:line="240" w:lineRule="auto"/>
              <w:jc w:val="center"/>
              <w:rPr>
                <w:rFonts w:ascii="Times New Roman" w:hAnsi="Times New Roman" w:cs="Times New Roman"/>
                <w:b/>
                <w:bCs/>
                <w:sz w:val="24"/>
                <w:szCs w:val="24"/>
                <w:lang w:eastAsia="en-PH"/>
              </w:rPr>
            </w:pPr>
            <w:r w:rsidRPr="00824BC0">
              <w:rPr>
                <w:rFonts w:ascii="Times New Roman" w:hAnsi="Times New Roman" w:cs="Times New Roman"/>
                <w:b/>
                <w:bCs/>
                <w:sz w:val="24"/>
                <w:szCs w:val="24"/>
                <w:lang w:eastAsia="en-PH"/>
              </w:rPr>
              <w:t>Variance</w:t>
            </w:r>
          </w:p>
        </w:tc>
      </w:tr>
      <w:tr w:rsidR="00133E63" w:rsidRPr="00824BC0" w14:paraId="5C47969E" w14:textId="77777777" w:rsidTr="004420EE">
        <w:trPr>
          <w:trHeight w:val="175"/>
        </w:trPr>
        <w:tc>
          <w:tcPr>
            <w:tcW w:w="3654" w:type="dxa"/>
            <w:tcBorders>
              <w:top w:val="nil"/>
              <w:left w:val="single" w:sz="4" w:space="0" w:color="auto"/>
              <w:bottom w:val="single" w:sz="4" w:space="0" w:color="auto"/>
              <w:right w:val="single" w:sz="4" w:space="0" w:color="auto"/>
            </w:tcBorders>
            <w:shd w:val="clear" w:color="auto" w:fill="auto"/>
            <w:vAlign w:val="bottom"/>
            <w:hideMark/>
          </w:tcPr>
          <w:p w14:paraId="74E64C88" w14:textId="77777777" w:rsidR="00133E63" w:rsidRPr="00824BC0" w:rsidRDefault="00133E63" w:rsidP="004420EE">
            <w:pPr>
              <w:spacing w:after="0" w:line="240" w:lineRule="auto"/>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Office Supplies Inventory </w:t>
            </w:r>
          </w:p>
        </w:tc>
        <w:tc>
          <w:tcPr>
            <w:tcW w:w="1888" w:type="dxa"/>
            <w:tcBorders>
              <w:top w:val="nil"/>
              <w:left w:val="nil"/>
              <w:bottom w:val="single" w:sz="4" w:space="0" w:color="auto"/>
              <w:right w:val="single" w:sz="4" w:space="0" w:color="auto"/>
            </w:tcBorders>
            <w:shd w:val="clear" w:color="auto" w:fill="auto"/>
            <w:vAlign w:val="bottom"/>
            <w:hideMark/>
          </w:tcPr>
          <w:p w14:paraId="4212FEBC"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rPr>
              <w:t>₱</w:t>
            </w:r>
            <w:r w:rsidRPr="00824BC0">
              <w:rPr>
                <w:rFonts w:ascii="Times New Roman" w:hAnsi="Times New Roman" w:cs="Times New Roman"/>
                <w:sz w:val="24"/>
                <w:szCs w:val="24"/>
                <w:lang w:eastAsia="en-PH"/>
              </w:rPr>
              <w:t xml:space="preserve"> 795,370.91 </w:t>
            </w:r>
          </w:p>
        </w:tc>
        <w:tc>
          <w:tcPr>
            <w:tcW w:w="1743" w:type="dxa"/>
            <w:tcBorders>
              <w:top w:val="nil"/>
              <w:left w:val="nil"/>
              <w:bottom w:val="single" w:sz="4" w:space="0" w:color="auto"/>
              <w:right w:val="single" w:sz="4" w:space="0" w:color="auto"/>
            </w:tcBorders>
            <w:shd w:val="clear" w:color="auto" w:fill="auto"/>
            <w:vAlign w:val="bottom"/>
            <w:hideMark/>
          </w:tcPr>
          <w:p w14:paraId="6DC3398D"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rPr>
              <w:t xml:space="preserve">₱              </w:t>
            </w:r>
            <w:r w:rsidRPr="00824BC0">
              <w:rPr>
                <w:rFonts w:ascii="Times New Roman" w:hAnsi="Times New Roman" w:cs="Times New Roman"/>
                <w:sz w:val="24"/>
                <w:szCs w:val="24"/>
                <w:lang w:eastAsia="en-PH"/>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14:paraId="7583CC75"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rPr>
              <w:t>₱</w:t>
            </w:r>
            <w:r w:rsidRPr="00824BC0">
              <w:rPr>
                <w:rFonts w:ascii="Times New Roman" w:hAnsi="Times New Roman" w:cs="Times New Roman"/>
                <w:sz w:val="24"/>
                <w:szCs w:val="24"/>
                <w:lang w:eastAsia="en-PH"/>
              </w:rPr>
              <w:t xml:space="preserve">795,370.91 </w:t>
            </w:r>
          </w:p>
        </w:tc>
      </w:tr>
      <w:tr w:rsidR="00133E63" w:rsidRPr="00824BC0" w14:paraId="2C321188" w14:textId="77777777" w:rsidTr="004420EE">
        <w:trPr>
          <w:trHeight w:val="208"/>
        </w:trPr>
        <w:tc>
          <w:tcPr>
            <w:tcW w:w="3654" w:type="dxa"/>
            <w:tcBorders>
              <w:top w:val="nil"/>
              <w:left w:val="single" w:sz="4" w:space="0" w:color="auto"/>
              <w:bottom w:val="single" w:sz="4" w:space="0" w:color="auto"/>
              <w:right w:val="single" w:sz="4" w:space="0" w:color="auto"/>
            </w:tcBorders>
            <w:shd w:val="clear" w:color="auto" w:fill="auto"/>
            <w:vAlign w:val="bottom"/>
            <w:hideMark/>
          </w:tcPr>
          <w:p w14:paraId="416A1DD0" w14:textId="77777777" w:rsidR="00133E63" w:rsidRPr="00824BC0" w:rsidRDefault="00133E63" w:rsidP="004420EE">
            <w:pPr>
              <w:spacing w:after="0" w:line="240" w:lineRule="auto"/>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Textbook and Instructional Materials Inventory </w:t>
            </w:r>
          </w:p>
        </w:tc>
        <w:tc>
          <w:tcPr>
            <w:tcW w:w="1888" w:type="dxa"/>
            <w:tcBorders>
              <w:top w:val="nil"/>
              <w:left w:val="nil"/>
              <w:bottom w:val="single" w:sz="4" w:space="0" w:color="auto"/>
              <w:right w:val="single" w:sz="4" w:space="0" w:color="auto"/>
            </w:tcBorders>
            <w:shd w:val="clear" w:color="auto" w:fill="auto"/>
            <w:vAlign w:val="bottom"/>
            <w:hideMark/>
          </w:tcPr>
          <w:p w14:paraId="1F069C6A"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1,856,136.80 </w:t>
            </w:r>
          </w:p>
        </w:tc>
        <w:tc>
          <w:tcPr>
            <w:tcW w:w="1743" w:type="dxa"/>
            <w:tcBorders>
              <w:top w:val="nil"/>
              <w:left w:val="nil"/>
              <w:bottom w:val="single" w:sz="4" w:space="0" w:color="auto"/>
              <w:right w:val="single" w:sz="4" w:space="0" w:color="auto"/>
            </w:tcBorders>
            <w:shd w:val="clear" w:color="auto" w:fill="auto"/>
            <w:vAlign w:val="bottom"/>
            <w:hideMark/>
          </w:tcPr>
          <w:p w14:paraId="5BAB5EE8"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1,831,900.85 </w:t>
            </w:r>
          </w:p>
        </w:tc>
        <w:tc>
          <w:tcPr>
            <w:tcW w:w="1350" w:type="dxa"/>
            <w:tcBorders>
              <w:top w:val="nil"/>
              <w:left w:val="nil"/>
              <w:bottom w:val="single" w:sz="4" w:space="0" w:color="auto"/>
              <w:right w:val="single" w:sz="4" w:space="0" w:color="auto"/>
            </w:tcBorders>
            <w:shd w:val="clear" w:color="auto" w:fill="auto"/>
            <w:noWrap/>
            <w:vAlign w:val="bottom"/>
            <w:hideMark/>
          </w:tcPr>
          <w:p w14:paraId="5864C04C"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24,235.95 </w:t>
            </w:r>
          </w:p>
        </w:tc>
      </w:tr>
      <w:tr w:rsidR="00133E63" w:rsidRPr="00824BC0" w14:paraId="3FFC1779" w14:textId="77777777" w:rsidTr="004420EE">
        <w:trPr>
          <w:trHeight w:val="97"/>
        </w:trPr>
        <w:tc>
          <w:tcPr>
            <w:tcW w:w="3654" w:type="dxa"/>
            <w:tcBorders>
              <w:top w:val="nil"/>
              <w:left w:val="single" w:sz="4" w:space="0" w:color="auto"/>
              <w:bottom w:val="single" w:sz="4" w:space="0" w:color="auto"/>
              <w:right w:val="single" w:sz="4" w:space="0" w:color="auto"/>
            </w:tcBorders>
            <w:shd w:val="clear" w:color="auto" w:fill="auto"/>
            <w:vAlign w:val="bottom"/>
            <w:hideMark/>
          </w:tcPr>
          <w:p w14:paraId="17D753CB" w14:textId="77777777" w:rsidR="00133E63" w:rsidRPr="00824BC0" w:rsidRDefault="00133E63" w:rsidP="004420EE">
            <w:pPr>
              <w:spacing w:after="0" w:line="240" w:lineRule="auto"/>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Other Supplies and Materials Inventory </w:t>
            </w:r>
          </w:p>
        </w:tc>
        <w:tc>
          <w:tcPr>
            <w:tcW w:w="1888" w:type="dxa"/>
            <w:tcBorders>
              <w:top w:val="nil"/>
              <w:left w:val="nil"/>
              <w:bottom w:val="single" w:sz="4" w:space="0" w:color="auto"/>
              <w:right w:val="single" w:sz="4" w:space="0" w:color="auto"/>
            </w:tcBorders>
            <w:shd w:val="clear" w:color="auto" w:fill="auto"/>
            <w:vAlign w:val="bottom"/>
            <w:hideMark/>
          </w:tcPr>
          <w:p w14:paraId="3AB64DDD"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3,045,892.92 </w:t>
            </w:r>
          </w:p>
        </w:tc>
        <w:tc>
          <w:tcPr>
            <w:tcW w:w="1743" w:type="dxa"/>
            <w:tcBorders>
              <w:top w:val="nil"/>
              <w:left w:val="nil"/>
              <w:bottom w:val="single" w:sz="4" w:space="0" w:color="auto"/>
              <w:right w:val="single" w:sz="4" w:space="0" w:color="auto"/>
            </w:tcBorders>
            <w:shd w:val="clear" w:color="auto" w:fill="auto"/>
            <w:vAlign w:val="bottom"/>
            <w:hideMark/>
          </w:tcPr>
          <w:p w14:paraId="7ED5FD2F"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3,217,778.81 </w:t>
            </w:r>
          </w:p>
        </w:tc>
        <w:tc>
          <w:tcPr>
            <w:tcW w:w="1350" w:type="dxa"/>
            <w:tcBorders>
              <w:top w:val="nil"/>
              <w:left w:val="nil"/>
              <w:bottom w:val="single" w:sz="4" w:space="0" w:color="auto"/>
              <w:right w:val="single" w:sz="4" w:space="0" w:color="auto"/>
            </w:tcBorders>
            <w:shd w:val="clear" w:color="auto" w:fill="auto"/>
            <w:noWrap/>
            <w:vAlign w:val="bottom"/>
            <w:hideMark/>
          </w:tcPr>
          <w:p w14:paraId="725EF579" w14:textId="77777777" w:rsidR="00133E63" w:rsidRPr="00824BC0" w:rsidRDefault="00133E63" w:rsidP="004420EE">
            <w:pPr>
              <w:spacing w:after="0" w:line="240" w:lineRule="auto"/>
              <w:ind w:right="-89"/>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 (171,885.89) </w:t>
            </w:r>
          </w:p>
        </w:tc>
      </w:tr>
      <w:tr w:rsidR="00133E63" w:rsidRPr="00824BC0" w14:paraId="7AC8AFEC" w14:textId="77777777" w:rsidTr="004420EE">
        <w:trPr>
          <w:trHeight w:val="221"/>
        </w:trPr>
        <w:tc>
          <w:tcPr>
            <w:tcW w:w="3654" w:type="dxa"/>
            <w:tcBorders>
              <w:top w:val="nil"/>
              <w:left w:val="single" w:sz="4" w:space="0" w:color="auto"/>
              <w:bottom w:val="single" w:sz="4" w:space="0" w:color="auto"/>
              <w:right w:val="single" w:sz="4" w:space="0" w:color="auto"/>
            </w:tcBorders>
            <w:shd w:val="clear" w:color="auto" w:fill="auto"/>
            <w:vAlign w:val="bottom"/>
            <w:hideMark/>
          </w:tcPr>
          <w:p w14:paraId="451D41D1" w14:textId="77777777" w:rsidR="00133E63" w:rsidRPr="00824BC0" w:rsidRDefault="00133E63" w:rsidP="004420EE">
            <w:pPr>
              <w:spacing w:after="0" w:line="240" w:lineRule="auto"/>
              <w:rPr>
                <w:rFonts w:ascii="Times New Roman" w:hAnsi="Times New Roman" w:cs="Times New Roman"/>
                <w:sz w:val="24"/>
                <w:szCs w:val="24"/>
                <w:lang w:eastAsia="en-PH"/>
              </w:rPr>
            </w:pPr>
            <w:r w:rsidRPr="00824BC0">
              <w:rPr>
                <w:rFonts w:ascii="Times New Roman" w:hAnsi="Times New Roman" w:cs="Times New Roman"/>
                <w:sz w:val="24"/>
                <w:szCs w:val="24"/>
                <w:lang w:eastAsia="en-PH"/>
              </w:rPr>
              <w:t>Semi-Expendables - Furniture and Fixtures</w:t>
            </w:r>
          </w:p>
        </w:tc>
        <w:tc>
          <w:tcPr>
            <w:tcW w:w="1888" w:type="dxa"/>
            <w:tcBorders>
              <w:top w:val="nil"/>
              <w:left w:val="nil"/>
              <w:bottom w:val="single" w:sz="4" w:space="0" w:color="auto"/>
              <w:right w:val="single" w:sz="4" w:space="0" w:color="auto"/>
            </w:tcBorders>
            <w:shd w:val="clear" w:color="auto" w:fill="auto"/>
            <w:vAlign w:val="bottom"/>
            <w:hideMark/>
          </w:tcPr>
          <w:p w14:paraId="0E72C5FF"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9,906,837.34 </w:t>
            </w:r>
          </w:p>
        </w:tc>
        <w:tc>
          <w:tcPr>
            <w:tcW w:w="1743" w:type="dxa"/>
            <w:tcBorders>
              <w:top w:val="nil"/>
              <w:left w:val="nil"/>
              <w:bottom w:val="single" w:sz="4" w:space="0" w:color="auto"/>
              <w:right w:val="single" w:sz="4" w:space="0" w:color="auto"/>
            </w:tcBorders>
            <w:shd w:val="clear" w:color="auto" w:fill="auto"/>
            <w:vAlign w:val="bottom"/>
            <w:hideMark/>
          </w:tcPr>
          <w:p w14:paraId="64227DA8"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9,820,708.34 </w:t>
            </w:r>
          </w:p>
        </w:tc>
        <w:tc>
          <w:tcPr>
            <w:tcW w:w="1350" w:type="dxa"/>
            <w:tcBorders>
              <w:top w:val="nil"/>
              <w:left w:val="nil"/>
              <w:bottom w:val="single" w:sz="4" w:space="0" w:color="auto"/>
              <w:right w:val="single" w:sz="4" w:space="0" w:color="auto"/>
            </w:tcBorders>
            <w:shd w:val="clear" w:color="auto" w:fill="auto"/>
            <w:noWrap/>
            <w:vAlign w:val="bottom"/>
            <w:hideMark/>
          </w:tcPr>
          <w:p w14:paraId="1A3B94D0"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86,129.00 </w:t>
            </w:r>
          </w:p>
        </w:tc>
      </w:tr>
      <w:tr w:rsidR="00133E63" w:rsidRPr="00824BC0" w14:paraId="68FAFA09" w14:textId="77777777" w:rsidTr="004420EE">
        <w:trPr>
          <w:trHeight w:val="300"/>
        </w:trPr>
        <w:tc>
          <w:tcPr>
            <w:tcW w:w="3654" w:type="dxa"/>
            <w:tcBorders>
              <w:top w:val="nil"/>
              <w:left w:val="single" w:sz="4" w:space="0" w:color="auto"/>
              <w:bottom w:val="single" w:sz="4" w:space="0" w:color="auto"/>
              <w:right w:val="single" w:sz="4" w:space="0" w:color="auto"/>
            </w:tcBorders>
            <w:shd w:val="clear" w:color="auto" w:fill="auto"/>
            <w:vAlign w:val="bottom"/>
            <w:hideMark/>
          </w:tcPr>
          <w:p w14:paraId="0011F211" w14:textId="77777777" w:rsidR="00133E63" w:rsidRPr="00824BC0" w:rsidRDefault="00133E63" w:rsidP="004420EE">
            <w:pPr>
              <w:spacing w:after="0" w:line="240" w:lineRule="auto"/>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Semi-Expendables - Office Equipment </w:t>
            </w:r>
          </w:p>
        </w:tc>
        <w:tc>
          <w:tcPr>
            <w:tcW w:w="1888" w:type="dxa"/>
            <w:tcBorders>
              <w:top w:val="nil"/>
              <w:left w:val="nil"/>
              <w:bottom w:val="single" w:sz="4" w:space="0" w:color="auto"/>
              <w:right w:val="single" w:sz="4" w:space="0" w:color="auto"/>
            </w:tcBorders>
            <w:shd w:val="clear" w:color="auto" w:fill="auto"/>
            <w:vAlign w:val="bottom"/>
            <w:hideMark/>
          </w:tcPr>
          <w:p w14:paraId="4B801712"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2,276,461.42 </w:t>
            </w:r>
          </w:p>
        </w:tc>
        <w:tc>
          <w:tcPr>
            <w:tcW w:w="1743" w:type="dxa"/>
            <w:tcBorders>
              <w:top w:val="nil"/>
              <w:left w:val="nil"/>
              <w:bottom w:val="single" w:sz="4" w:space="0" w:color="auto"/>
              <w:right w:val="single" w:sz="4" w:space="0" w:color="auto"/>
            </w:tcBorders>
            <w:shd w:val="clear" w:color="auto" w:fill="auto"/>
            <w:vAlign w:val="bottom"/>
            <w:hideMark/>
          </w:tcPr>
          <w:p w14:paraId="0C01DD6B"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2,083,023.61 </w:t>
            </w:r>
          </w:p>
        </w:tc>
        <w:tc>
          <w:tcPr>
            <w:tcW w:w="1350" w:type="dxa"/>
            <w:tcBorders>
              <w:top w:val="nil"/>
              <w:left w:val="nil"/>
              <w:bottom w:val="single" w:sz="4" w:space="0" w:color="auto"/>
              <w:right w:val="single" w:sz="4" w:space="0" w:color="auto"/>
            </w:tcBorders>
            <w:shd w:val="clear" w:color="auto" w:fill="auto"/>
            <w:noWrap/>
            <w:vAlign w:val="bottom"/>
            <w:hideMark/>
          </w:tcPr>
          <w:p w14:paraId="3E9804BF"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193,437.81 </w:t>
            </w:r>
          </w:p>
        </w:tc>
      </w:tr>
      <w:tr w:rsidR="00133E63" w:rsidRPr="00824BC0" w14:paraId="279ADCB4" w14:textId="77777777" w:rsidTr="004420EE">
        <w:trPr>
          <w:trHeight w:val="122"/>
        </w:trPr>
        <w:tc>
          <w:tcPr>
            <w:tcW w:w="3654" w:type="dxa"/>
            <w:tcBorders>
              <w:top w:val="nil"/>
              <w:left w:val="single" w:sz="4" w:space="0" w:color="auto"/>
              <w:bottom w:val="single" w:sz="4" w:space="0" w:color="auto"/>
              <w:right w:val="single" w:sz="4" w:space="0" w:color="auto"/>
            </w:tcBorders>
            <w:shd w:val="clear" w:color="auto" w:fill="auto"/>
            <w:vAlign w:val="bottom"/>
            <w:hideMark/>
          </w:tcPr>
          <w:p w14:paraId="7F5725A0" w14:textId="77777777" w:rsidR="00133E63" w:rsidRPr="00824BC0" w:rsidRDefault="00133E63" w:rsidP="004420EE">
            <w:pPr>
              <w:spacing w:after="0" w:line="240" w:lineRule="auto"/>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Semi-Expendables - ICT Equipment </w:t>
            </w:r>
          </w:p>
        </w:tc>
        <w:tc>
          <w:tcPr>
            <w:tcW w:w="1888" w:type="dxa"/>
            <w:tcBorders>
              <w:top w:val="nil"/>
              <w:left w:val="nil"/>
              <w:bottom w:val="single" w:sz="4" w:space="0" w:color="auto"/>
              <w:right w:val="single" w:sz="4" w:space="0" w:color="auto"/>
            </w:tcBorders>
            <w:shd w:val="clear" w:color="auto" w:fill="auto"/>
            <w:vAlign w:val="bottom"/>
            <w:hideMark/>
          </w:tcPr>
          <w:p w14:paraId="4D4B5CB7"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4,334,884.59 </w:t>
            </w:r>
          </w:p>
        </w:tc>
        <w:tc>
          <w:tcPr>
            <w:tcW w:w="1743" w:type="dxa"/>
            <w:tcBorders>
              <w:top w:val="nil"/>
              <w:left w:val="nil"/>
              <w:bottom w:val="single" w:sz="4" w:space="0" w:color="auto"/>
              <w:right w:val="single" w:sz="4" w:space="0" w:color="auto"/>
            </w:tcBorders>
            <w:shd w:val="clear" w:color="auto" w:fill="auto"/>
            <w:vAlign w:val="bottom"/>
            <w:hideMark/>
          </w:tcPr>
          <w:p w14:paraId="5F30C068"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4,409,726.59 </w:t>
            </w:r>
          </w:p>
        </w:tc>
        <w:tc>
          <w:tcPr>
            <w:tcW w:w="1350" w:type="dxa"/>
            <w:tcBorders>
              <w:top w:val="nil"/>
              <w:left w:val="nil"/>
              <w:bottom w:val="single" w:sz="4" w:space="0" w:color="auto"/>
              <w:right w:val="single" w:sz="4" w:space="0" w:color="auto"/>
            </w:tcBorders>
            <w:shd w:val="clear" w:color="auto" w:fill="auto"/>
            <w:noWrap/>
            <w:vAlign w:val="bottom"/>
            <w:hideMark/>
          </w:tcPr>
          <w:p w14:paraId="6C522D25" w14:textId="77777777" w:rsidR="00133E63" w:rsidRPr="00824BC0" w:rsidRDefault="00133E63" w:rsidP="004420EE">
            <w:pPr>
              <w:spacing w:after="0" w:line="240" w:lineRule="auto"/>
              <w:ind w:right="-89"/>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(74,842.00) </w:t>
            </w:r>
          </w:p>
        </w:tc>
      </w:tr>
      <w:tr w:rsidR="00133E63" w:rsidRPr="00824BC0" w14:paraId="211CD0EB" w14:textId="77777777" w:rsidTr="004420EE">
        <w:trPr>
          <w:trHeight w:val="455"/>
        </w:trPr>
        <w:tc>
          <w:tcPr>
            <w:tcW w:w="3654" w:type="dxa"/>
            <w:tcBorders>
              <w:top w:val="nil"/>
              <w:left w:val="single" w:sz="4" w:space="0" w:color="auto"/>
              <w:bottom w:val="single" w:sz="4" w:space="0" w:color="auto"/>
              <w:right w:val="single" w:sz="4" w:space="0" w:color="auto"/>
            </w:tcBorders>
            <w:shd w:val="clear" w:color="auto" w:fill="auto"/>
            <w:vAlign w:val="bottom"/>
            <w:hideMark/>
          </w:tcPr>
          <w:p w14:paraId="7B11AD65" w14:textId="77777777" w:rsidR="00133E63" w:rsidRPr="00824BC0" w:rsidRDefault="00133E63" w:rsidP="004420EE">
            <w:pPr>
              <w:spacing w:after="0" w:line="240" w:lineRule="auto"/>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Semi-Expendables – Agricultural and Forestry Equipment </w:t>
            </w:r>
          </w:p>
        </w:tc>
        <w:tc>
          <w:tcPr>
            <w:tcW w:w="1888" w:type="dxa"/>
            <w:tcBorders>
              <w:top w:val="nil"/>
              <w:left w:val="nil"/>
              <w:bottom w:val="single" w:sz="4" w:space="0" w:color="auto"/>
              <w:right w:val="single" w:sz="4" w:space="0" w:color="auto"/>
            </w:tcBorders>
            <w:shd w:val="clear" w:color="auto" w:fill="auto"/>
            <w:vAlign w:val="bottom"/>
            <w:hideMark/>
          </w:tcPr>
          <w:p w14:paraId="7035EAE2"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           1,638,420.03 </w:t>
            </w:r>
          </w:p>
        </w:tc>
        <w:tc>
          <w:tcPr>
            <w:tcW w:w="1743" w:type="dxa"/>
            <w:tcBorders>
              <w:top w:val="nil"/>
              <w:left w:val="nil"/>
              <w:bottom w:val="single" w:sz="4" w:space="0" w:color="auto"/>
              <w:right w:val="single" w:sz="4" w:space="0" w:color="auto"/>
            </w:tcBorders>
            <w:shd w:val="clear" w:color="auto" w:fill="auto"/>
            <w:vAlign w:val="bottom"/>
            <w:hideMark/>
          </w:tcPr>
          <w:p w14:paraId="5F80CF38"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        1,634,008.03 </w:t>
            </w:r>
          </w:p>
        </w:tc>
        <w:tc>
          <w:tcPr>
            <w:tcW w:w="1350" w:type="dxa"/>
            <w:tcBorders>
              <w:top w:val="nil"/>
              <w:left w:val="nil"/>
              <w:bottom w:val="single" w:sz="4" w:space="0" w:color="auto"/>
              <w:right w:val="single" w:sz="4" w:space="0" w:color="auto"/>
            </w:tcBorders>
            <w:shd w:val="clear" w:color="auto" w:fill="auto"/>
            <w:noWrap/>
            <w:vAlign w:val="bottom"/>
            <w:hideMark/>
          </w:tcPr>
          <w:p w14:paraId="6B9A7F91"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                 4,412.00 </w:t>
            </w:r>
          </w:p>
        </w:tc>
      </w:tr>
      <w:tr w:rsidR="00133E63" w:rsidRPr="00824BC0" w14:paraId="481B123B" w14:textId="77777777" w:rsidTr="004420EE">
        <w:trPr>
          <w:trHeight w:val="407"/>
        </w:trPr>
        <w:tc>
          <w:tcPr>
            <w:tcW w:w="3654" w:type="dxa"/>
            <w:tcBorders>
              <w:top w:val="nil"/>
              <w:left w:val="single" w:sz="4" w:space="0" w:color="auto"/>
              <w:bottom w:val="single" w:sz="4" w:space="0" w:color="auto"/>
              <w:right w:val="single" w:sz="4" w:space="0" w:color="auto"/>
            </w:tcBorders>
            <w:shd w:val="clear" w:color="auto" w:fill="auto"/>
            <w:vAlign w:val="bottom"/>
            <w:hideMark/>
          </w:tcPr>
          <w:p w14:paraId="698788EE" w14:textId="77777777" w:rsidR="00133E63" w:rsidRPr="00824BC0" w:rsidRDefault="00133E63" w:rsidP="004420EE">
            <w:pPr>
              <w:spacing w:after="0" w:line="240" w:lineRule="auto"/>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Semi-Expendables - Communication Equipment </w:t>
            </w:r>
          </w:p>
        </w:tc>
        <w:tc>
          <w:tcPr>
            <w:tcW w:w="1888" w:type="dxa"/>
            <w:tcBorders>
              <w:top w:val="nil"/>
              <w:left w:val="nil"/>
              <w:bottom w:val="single" w:sz="4" w:space="0" w:color="auto"/>
              <w:right w:val="single" w:sz="4" w:space="0" w:color="auto"/>
            </w:tcBorders>
            <w:shd w:val="clear" w:color="auto" w:fill="auto"/>
            <w:vAlign w:val="bottom"/>
            <w:hideMark/>
          </w:tcPr>
          <w:p w14:paraId="0F9D1032"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1,486,304.47 </w:t>
            </w:r>
          </w:p>
        </w:tc>
        <w:tc>
          <w:tcPr>
            <w:tcW w:w="1743" w:type="dxa"/>
            <w:tcBorders>
              <w:top w:val="nil"/>
              <w:left w:val="nil"/>
              <w:bottom w:val="single" w:sz="4" w:space="0" w:color="auto"/>
              <w:right w:val="single" w:sz="4" w:space="0" w:color="auto"/>
            </w:tcBorders>
            <w:shd w:val="clear" w:color="auto" w:fill="auto"/>
            <w:vAlign w:val="bottom"/>
            <w:hideMark/>
          </w:tcPr>
          <w:p w14:paraId="1782F9B3"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1,492,219.27 </w:t>
            </w:r>
          </w:p>
        </w:tc>
        <w:tc>
          <w:tcPr>
            <w:tcW w:w="1350" w:type="dxa"/>
            <w:tcBorders>
              <w:top w:val="nil"/>
              <w:left w:val="nil"/>
              <w:bottom w:val="single" w:sz="4" w:space="0" w:color="auto"/>
              <w:right w:val="single" w:sz="4" w:space="0" w:color="auto"/>
            </w:tcBorders>
            <w:shd w:val="clear" w:color="auto" w:fill="auto"/>
            <w:noWrap/>
            <w:vAlign w:val="bottom"/>
            <w:hideMark/>
          </w:tcPr>
          <w:p w14:paraId="16B20FF6" w14:textId="77777777" w:rsidR="00133E63" w:rsidRPr="00824BC0" w:rsidRDefault="00133E63" w:rsidP="004420EE">
            <w:pPr>
              <w:spacing w:after="0" w:line="240" w:lineRule="auto"/>
              <w:ind w:right="-89"/>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(5,914.80) </w:t>
            </w:r>
          </w:p>
        </w:tc>
      </w:tr>
      <w:tr w:rsidR="00133E63" w:rsidRPr="00824BC0" w14:paraId="36B35203" w14:textId="77777777" w:rsidTr="004420EE">
        <w:trPr>
          <w:trHeight w:val="288"/>
        </w:trPr>
        <w:tc>
          <w:tcPr>
            <w:tcW w:w="3654" w:type="dxa"/>
            <w:tcBorders>
              <w:top w:val="nil"/>
              <w:left w:val="single" w:sz="4" w:space="0" w:color="auto"/>
              <w:bottom w:val="single" w:sz="4" w:space="0" w:color="auto"/>
              <w:right w:val="single" w:sz="4" w:space="0" w:color="auto"/>
            </w:tcBorders>
            <w:shd w:val="clear" w:color="auto" w:fill="auto"/>
            <w:vAlign w:val="bottom"/>
            <w:hideMark/>
          </w:tcPr>
          <w:p w14:paraId="51972E4F" w14:textId="77777777" w:rsidR="00133E63" w:rsidRPr="00824BC0" w:rsidRDefault="00133E63" w:rsidP="004420EE">
            <w:pPr>
              <w:spacing w:after="0" w:line="240" w:lineRule="auto"/>
              <w:rPr>
                <w:rFonts w:ascii="Times New Roman" w:hAnsi="Times New Roman" w:cs="Times New Roman"/>
                <w:sz w:val="24"/>
                <w:szCs w:val="24"/>
                <w:lang w:eastAsia="en-PH"/>
              </w:rPr>
            </w:pPr>
            <w:r w:rsidRPr="00824BC0">
              <w:rPr>
                <w:rFonts w:ascii="Times New Roman" w:hAnsi="Times New Roman" w:cs="Times New Roman"/>
                <w:sz w:val="24"/>
                <w:szCs w:val="24"/>
                <w:lang w:eastAsia="en-PH"/>
              </w:rPr>
              <w:lastRenderedPageBreak/>
              <w:t xml:space="preserve">Semi-Expendables - Disaster Response and Rescue Equipment </w:t>
            </w:r>
          </w:p>
        </w:tc>
        <w:tc>
          <w:tcPr>
            <w:tcW w:w="1888" w:type="dxa"/>
            <w:tcBorders>
              <w:top w:val="nil"/>
              <w:left w:val="nil"/>
              <w:bottom w:val="single" w:sz="4" w:space="0" w:color="auto"/>
              <w:right w:val="single" w:sz="4" w:space="0" w:color="auto"/>
            </w:tcBorders>
            <w:shd w:val="clear" w:color="auto" w:fill="auto"/>
            <w:vAlign w:val="bottom"/>
            <w:hideMark/>
          </w:tcPr>
          <w:p w14:paraId="2FD8747A"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119,575.50 </w:t>
            </w:r>
          </w:p>
        </w:tc>
        <w:tc>
          <w:tcPr>
            <w:tcW w:w="1743" w:type="dxa"/>
            <w:tcBorders>
              <w:top w:val="nil"/>
              <w:left w:val="nil"/>
              <w:bottom w:val="single" w:sz="4" w:space="0" w:color="auto"/>
              <w:right w:val="single" w:sz="4" w:space="0" w:color="auto"/>
            </w:tcBorders>
            <w:shd w:val="clear" w:color="auto" w:fill="auto"/>
            <w:vAlign w:val="bottom"/>
            <w:hideMark/>
          </w:tcPr>
          <w:p w14:paraId="1DF935C1"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119,575.50 </w:t>
            </w:r>
          </w:p>
        </w:tc>
        <w:tc>
          <w:tcPr>
            <w:tcW w:w="1350" w:type="dxa"/>
            <w:tcBorders>
              <w:top w:val="nil"/>
              <w:left w:val="nil"/>
              <w:bottom w:val="single" w:sz="4" w:space="0" w:color="auto"/>
              <w:right w:val="single" w:sz="4" w:space="0" w:color="auto"/>
            </w:tcBorders>
            <w:shd w:val="clear" w:color="auto" w:fill="auto"/>
            <w:noWrap/>
            <w:vAlign w:val="bottom"/>
            <w:hideMark/>
          </w:tcPr>
          <w:p w14:paraId="7C8FE0E3"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0.00</w:t>
            </w:r>
          </w:p>
        </w:tc>
      </w:tr>
      <w:tr w:rsidR="00133E63" w:rsidRPr="00824BC0" w14:paraId="38625659" w14:textId="77777777" w:rsidTr="004420EE">
        <w:trPr>
          <w:trHeight w:val="300"/>
        </w:trPr>
        <w:tc>
          <w:tcPr>
            <w:tcW w:w="3654" w:type="dxa"/>
            <w:tcBorders>
              <w:top w:val="nil"/>
              <w:left w:val="single" w:sz="4" w:space="0" w:color="auto"/>
              <w:bottom w:val="single" w:sz="4" w:space="0" w:color="auto"/>
              <w:right w:val="single" w:sz="4" w:space="0" w:color="auto"/>
            </w:tcBorders>
            <w:shd w:val="clear" w:color="auto" w:fill="auto"/>
            <w:vAlign w:val="bottom"/>
            <w:hideMark/>
          </w:tcPr>
          <w:p w14:paraId="185E0626" w14:textId="77777777" w:rsidR="00133E63" w:rsidRPr="00824BC0" w:rsidRDefault="00133E63" w:rsidP="004420EE">
            <w:pPr>
              <w:spacing w:after="0" w:line="240" w:lineRule="auto"/>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Semi-Expendables - Medical Equipment </w:t>
            </w:r>
          </w:p>
        </w:tc>
        <w:tc>
          <w:tcPr>
            <w:tcW w:w="1888" w:type="dxa"/>
            <w:tcBorders>
              <w:top w:val="nil"/>
              <w:left w:val="nil"/>
              <w:bottom w:val="single" w:sz="4" w:space="0" w:color="auto"/>
              <w:right w:val="single" w:sz="4" w:space="0" w:color="auto"/>
            </w:tcBorders>
            <w:shd w:val="clear" w:color="auto" w:fill="auto"/>
            <w:vAlign w:val="bottom"/>
            <w:hideMark/>
          </w:tcPr>
          <w:p w14:paraId="6A1E9719"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153,879.50 </w:t>
            </w:r>
          </w:p>
        </w:tc>
        <w:tc>
          <w:tcPr>
            <w:tcW w:w="1743" w:type="dxa"/>
            <w:tcBorders>
              <w:top w:val="nil"/>
              <w:left w:val="nil"/>
              <w:bottom w:val="single" w:sz="4" w:space="0" w:color="auto"/>
              <w:right w:val="single" w:sz="4" w:space="0" w:color="auto"/>
            </w:tcBorders>
            <w:shd w:val="clear" w:color="auto" w:fill="auto"/>
            <w:vAlign w:val="bottom"/>
            <w:hideMark/>
          </w:tcPr>
          <w:p w14:paraId="32979C3C"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135,379.50 </w:t>
            </w:r>
          </w:p>
        </w:tc>
        <w:tc>
          <w:tcPr>
            <w:tcW w:w="1350" w:type="dxa"/>
            <w:tcBorders>
              <w:top w:val="nil"/>
              <w:left w:val="nil"/>
              <w:bottom w:val="single" w:sz="4" w:space="0" w:color="auto"/>
              <w:right w:val="single" w:sz="4" w:space="0" w:color="auto"/>
            </w:tcBorders>
            <w:shd w:val="clear" w:color="auto" w:fill="auto"/>
            <w:noWrap/>
            <w:vAlign w:val="bottom"/>
            <w:hideMark/>
          </w:tcPr>
          <w:p w14:paraId="7D5170D3"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18,500.00 </w:t>
            </w:r>
          </w:p>
        </w:tc>
      </w:tr>
      <w:tr w:rsidR="00133E63" w:rsidRPr="00824BC0" w14:paraId="44B4C3C4" w14:textId="77777777" w:rsidTr="004420EE">
        <w:trPr>
          <w:trHeight w:val="304"/>
        </w:trPr>
        <w:tc>
          <w:tcPr>
            <w:tcW w:w="3654" w:type="dxa"/>
            <w:tcBorders>
              <w:top w:val="nil"/>
              <w:left w:val="single" w:sz="4" w:space="0" w:color="auto"/>
              <w:bottom w:val="single" w:sz="4" w:space="0" w:color="auto"/>
              <w:right w:val="single" w:sz="4" w:space="0" w:color="auto"/>
            </w:tcBorders>
            <w:shd w:val="clear" w:color="auto" w:fill="auto"/>
            <w:vAlign w:val="bottom"/>
            <w:hideMark/>
          </w:tcPr>
          <w:p w14:paraId="2F976C60" w14:textId="77777777" w:rsidR="00133E63" w:rsidRPr="00824BC0" w:rsidRDefault="00133E63" w:rsidP="004420EE">
            <w:pPr>
              <w:spacing w:after="0" w:line="240" w:lineRule="auto"/>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Semi-Expendables - Sports Equipment </w:t>
            </w:r>
          </w:p>
        </w:tc>
        <w:tc>
          <w:tcPr>
            <w:tcW w:w="1888" w:type="dxa"/>
            <w:tcBorders>
              <w:top w:val="nil"/>
              <w:left w:val="nil"/>
              <w:bottom w:val="single" w:sz="4" w:space="0" w:color="auto"/>
              <w:right w:val="single" w:sz="4" w:space="0" w:color="auto"/>
            </w:tcBorders>
            <w:shd w:val="clear" w:color="auto" w:fill="auto"/>
            <w:vAlign w:val="bottom"/>
            <w:hideMark/>
          </w:tcPr>
          <w:p w14:paraId="5F2562C2"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914,943.50 </w:t>
            </w:r>
          </w:p>
        </w:tc>
        <w:tc>
          <w:tcPr>
            <w:tcW w:w="1743" w:type="dxa"/>
            <w:tcBorders>
              <w:top w:val="nil"/>
              <w:left w:val="nil"/>
              <w:bottom w:val="single" w:sz="4" w:space="0" w:color="auto"/>
              <w:right w:val="single" w:sz="4" w:space="0" w:color="auto"/>
            </w:tcBorders>
            <w:shd w:val="clear" w:color="auto" w:fill="auto"/>
            <w:vAlign w:val="bottom"/>
            <w:hideMark/>
          </w:tcPr>
          <w:p w14:paraId="384A9C0C"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878,063.50 </w:t>
            </w:r>
          </w:p>
        </w:tc>
        <w:tc>
          <w:tcPr>
            <w:tcW w:w="1350" w:type="dxa"/>
            <w:tcBorders>
              <w:top w:val="nil"/>
              <w:left w:val="nil"/>
              <w:bottom w:val="single" w:sz="4" w:space="0" w:color="auto"/>
              <w:right w:val="single" w:sz="4" w:space="0" w:color="auto"/>
            </w:tcBorders>
            <w:shd w:val="clear" w:color="auto" w:fill="auto"/>
            <w:noWrap/>
            <w:vAlign w:val="bottom"/>
            <w:hideMark/>
          </w:tcPr>
          <w:p w14:paraId="21513D98"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36,880.00 </w:t>
            </w:r>
          </w:p>
        </w:tc>
      </w:tr>
      <w:tr w:rsidR="00133E63" w:rsidRPr="00824BC0" w14:paraId="20C214C1" w14:textId="77777777" w:rsidTr="004420EE">
        <w:trPr>
          <w:trHeight w:val="496"/>
        </w:trPr>
        <w:tc>
          <w:tcPr>
            <w:tcW w:w="3654" w:type="dxa"/>
            <w:tcBorders>
              <w:top w:val="nil"/>
              <w:left w:val="single" w:sz="4" w:space="0" w:color="auto"/>
              <w:bottom w:val="single" w:sz="4" w:space="0" w:color="auto"/>
              <w:right w:val="single" w:sz="4" w:space="0" w:color="auto"/>
            </w:tcBorders>
            <w:shd w:val="clear" w:color="auto" w:fill="auto"/>
            <w:vAlign w:val="bottom"/>
            <w:hideMark/>
          </w:tcPr>
          <w:p w14:paraId="65C6FDFC" w14:textId="77777777" w:rsidR="00133E63" w:rsidRPr="00824BC0" w:rsidRDefault="00133E63" w:rsidP="004420EE">
            <w:pPr>
              <w:spacing w:after="0" w:line="240" w:lineRule="auto"/>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Semi-Expendables - Technical and Scientific Equipment </w:t>
            </w:r>
          </w:p>
        </w:tc>
        <w:tc>
          <w:tcPr>
            <w:tcW w:w="1888" w:type="dxa"/>
            <w:tcBorders>
              <w:top w:val="nil"/>
              <w:left w:val="nil"/>
              <w:bottom w:val="single" w:sz="4" w:space="0" w:color="auto"/>
              <w:right w:val="single" w:sz="4" w:space="0" w:color="auto"/>
            </w:tcBorders>
            <w:shd w:val="clear" w:color="auto" w:fill="auto"/>
            <w:vAlign w:val="bottom"/>
            <w:hideMark/>
          </w:tcPr>
          <w:p w14:paraId="1E0A86D6"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864,408.27 </w:t>
            </w:r>
          </w:p>
        </w:tc>
        <w:tc>
          <w:tcPr>
            <w:tcW w:w="1743" w:type="dxa"/>
            <w:tcBorders>
              <w:top w:val="nil"/>
              <w:left w:val="nil"/>
              <w:bottom w:val="single" w:sz="4" w:space="0" w:color="auto"/>
              <w:right w:val="single" w:sz="4" w:space="0" w:color="auto"/>
            </w:tcBorders>
            <w:shd w:val="clear" w:color="auto" w:fill="auto"/>
            <w:vAlign w:val="bottom"/>
            <w:hideMark/>
          </w:tcPr>
          <w:p w14:paraId="14E394DD"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838,408.27 </w:t>
            </w:r>
          </w:p>
        </w:tc>
        <w:tc>
          <w:tcPr>
            <w:tcW w:w="1350" w:type="dxa"/>
            <w:tcBorders>
              <w:top w:val="nil"/>
              <w:left w:val="nil"/>
              <w:bottom w:val="single" w:sz="4" w:space="0" w:color="auto"/>
              <w:right w:val="single" w:sz="4" w:space="0" w:color="auto"/>
            </w:tcBorders>
            <w:shd w:val="clear" w:color="auto" w:fill="auto"/>
            <w:noWrap/>
            <w:vAlign w:val="bottom"/>
            <w:hideMark/>
          </w:tcPr>
          <w:p w14:paraId="79D2A2F2"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26,000.00 </w:t>
            </w:r>
          </w:p>
        </w:tc>
      </w:tr>
      <w:tr w:rsidR="00133E63" w:rsidRPr="00824BC0" w14:paraId="08E6E237" w14:textId="77777777" w:rsidTr="004420EE">
        <w:trPr>
          <w:trHeight w:val="448"/>
        </w:trPr>
        <w:tc>
          <w:tcPr>
            <w:tcW w:w="3654" w:type="dxa"/>
            <w:tcBorders>
              <w:top w:val="nil"/>
              <w:left w:val="single" w:sz="4" w:space="0" w:color="auto"/>
              <w:bottom w:val="single" w:sz="4" w:space="0" w:color="auto"/>
              <w:right w:val="single" w:sz="4" w:space="0" w:color="auto"/>
            </w:tcBorders>
            <w:shd w:val="clear" w:color="auto" w:fill="auto"/>
            <w:vAlign w:val="bottom"/>
            <w:hideMark/>
          </w:tcPr>
          <w:p w14:paraId="50A2E6E3" w14:textId="77777777" w:rsidR="00133E63" w:rsidRPr="00824BC0" w:rsidRDefault="00133E63" w:rsidP="004420EE">
            <w:pPr>
              <w:spacing w:after="0" w:line="240" w:lineRule="auto"/>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Semi-Expendables - Other Machinery and Equipment </w:t>
            </w:r>
          </w:p>
        </w:tc>
        <w:tc>
          <w:tcPr>
            <w:tcW w:w="1888" w:type="dxa"/>
            <w:tcBorders>
              <w:top w:val="nil"/>
              <w:left w:val="nil"/>
              <w:bottom w:val="single" w:sz="4" w:space="0" w:color="auto"/>
              <w:right w:val="single" w:sz="4" w:space="0" w:color="auto"/>
            </w:tcBorders>
            <w:shd w:val="clear" w:color="auto" w:fill="auto"/>
            <w:vAlign w:val="bottom"/>
            <w:hideMark/>
          </w:tcPr>
          <w:p w14:paraId="148063D7"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830,186.30 </w:t>
            </w:r>
          </w:p>
        </w:tc>
        <w:tc>
          <w:tcPr>
            <w:tcW w:w="1743" w:type="dxa"/>
            <w:tcBorders>
              <w:top w:val="nil"/>
              <w:left w:val="nil"/>
              <w:bottom w:val="single" w:sz="4" w:space="0" w:color="auto"/>
              <w:right w:val="single" w:sz="4" w:space="0" w:color="auto"/>
            </w:tcBorders>
            <w:shd w:val="clear" w:color="auto" w:fill="auto"/>
            <w:vAlign w:val="bottom"/>
            <w:hideMark/>
          </w:tcPr>
          <w:p w14:paraId="1C82ECA0"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833,886.30 </w:t>
            </w:r>
          </w:p>
        </w:tc>
        <w:tc>
          <w:tcPr>
            <w:tcW w:w="1350" w:type="dxa"/>
            <w:tcBorders>
              <w:top w:val="nil"/>
              <w:left w:val="nil"/>
              <w:bottom w:val="single" w:sz="4" w:space="0" w:color="auto"/>
              <w:right w:val="single" w:sz="4" w:space="0" w:color="auto"/>
            </w:tcBorders>
            <w:shd w:val="clear" w:color="auto" w:fill="auto"/>
            <w:noWrap/>
            <w:vAlign w:val="bottom"/>
            <w:hideMark/>
          </w:tcPr>
          <w:p w14:paraId="65BC6E78" w14:textId="77777777" w:rsidR="00133E63" w:rsidRPr="00824BC0" w:rsidRDefault="00133E63" w:rsidP="004420EE">
            <w:pPr>
              <w:spacing w:after="0" w:line="240" w:lineRule="auto"/>
              <w:ind w:right="-89"/>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(3,700.00)</w:t>
            </w:r>
          </w:p>
        </w:tc>
      </w:tr>
      <w:tr w:rsidR="00133E63" w:rsidRPr="00824BC0" w14:paraId="064D4254" w14:textId="77777777" w:rsidTr="004420EE">
        <w:trPr>
          <w:trHeight w:val="79"/>
        </w:trPr>
        <w:tc>
          <w:tcPr>
            <w:tcW w:w="3654" w:type="dxa"/>
            <w:tcBorders>
              <w:top w:val="nil"/>
              <w:left w:val="single" w:sz="4" w:space="0" w:color="auto"/>
              <w:bottom w:val="single" w:sz="4" w:space="0" w:color="auto"/>
              <w:right w:val="single" w:sz="4" w:space="0" w:color="auto"/>
            </w:tcBorders>
            <w:shd w:val="clear" w:color="auto" w:fill="auto"/>
            <w:vAlign w:val="bottom"/>
            <w:hideMark/>
          </w:tcPr>
          <w:p w14:paraId="1C810BAF" w14:textId="77777777" w:rsidR="00133E63" w:rsidRPr="00824BC0" w:rsidRDefault="00133E63" w:rsidP="004420EE">
            <w:pPr>
              <w:spacing w:after="0" w:line="240" w:lineRule="auto"/>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Semi-Expendables - Machinery </w:t>
            </w:r>
          </w:p>
        </w:tc>
        <w:tc>
          <w:tcPr>
            <w:tcW w:w="1888" w:type="dxa"/>
            <w:tcBorders>
              <w:top w:val="nil"/>
              <w:left w:val="nil"/>
              <w:bottom w:val="single" w:sz="4" w:space="0" w:color="auto"/>
              <w:right w:val="single" w:sz="4" w:space="0" w:color="auto"/>
            </w:tcBorders>
            <w:shd w:val="clear" w:color="auto" w:fill="auto"/>
            <w:vAlign w:val="bottom"/>
            <w:hideMark/>
          </w:tcPr>
          <w:p w14:paraId="1DA9F8CA"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18,390.00 </w:t>
            </w:r>
          </w:p>
        </w:tc>
        <w:tc>
          <w:tcPr>
            <w:tcW w:w="1743" w:type="dxa"/>
            <w:tcBorders>
              <w:top w:val="nil"/>
              <w:left w:val="nil"/>
              <w:bottom w:val="single" w:sz="4" w:space="0" w:color="auto"/>
              <w:right w:val="single" w:sz="4" w:space="0" w:color="auto"/>
            </w:tcBorders>
            <w:shd w:val="clear" w:color="auto" w:fill="auto"/>
            <w:vAlign w:val="bottom"/>
            <w:hideMark/>
          </w:tcPr>
          <w:p w14:paraId="1CBA2A69"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18,390.00 </w:t>
            </w:r>
          </w:p>
        </w:tc>
        <w:tc>
          <w:tcPr>
            <w:tcW w:w="1350" w:type="dxa"/>
            <w:tcBorders>
              <w:top w:val="nil"/>
              <w:left w:val="nil"/>
              <w:bottom w:val="single" w:sz="4" w:space="0" w:color="auto"/>
              <w:right w:val="single" w:sz="4" w:space="0" w:color="auto"/>
            </w:tcBorders>
            <w:shd w:val="clear" w:color="auto" w:fill="auto"/>
            <w:noWrap/>
            <w:vAlign w:val="bottom"/>
            <w:hideMark/>
          </w:tcPr>
          <w:p w14:paraId="2CF9CD7F"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0.00   </w:t>
            </w:r>
          </w:p>
        </w:tc>
      </w:tr>
      <w:tr w:rsidR="00133E63" w:rsidRPr="00824BC0" w14:paraId="464BAA1A" w14:textId="77777777" w:rsidTr="004420EE">
        <w:trPr>
          <w:trHeight w:val="167"/>
        </w:trPr>
        <w:tc>
          <w:tcPr>
            <w:tcW w:w="3654" w:type="dxa"/>
            <w:tcBorders>
              <w:top w:val="nil"/>
              <w:left w:val="single" w:sz="4" w:space="0" w:color="auto"/>
              <w:bottom w:val="single" w:sz="4" w:space="0" w:color="auto"/>
              <w:right w:val="single" w:sz="4" w:space="0" w:color="auto"/>
            </w:tcBorders>
            <w:shd w:val="clear" w:color="auto" w:fill="auto"/>
            <w:vAlign w:val="bottom"/>
            <w:hideMark/>
          </w:tcPr>
          <w:p w14:paraId="5CF6450A" w14:textId="77777777" w:rsidR="00133E63" w:rsidRPr="00824BC0" w:rsidRDefault="00133E63" w:rsidP="004420EE">
            <w:pPr>
              <w:spacing w:after="0" w:line="240" w:lineRule="auto"/>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Semi-Expendables - Books </w:t>
            </w:r>
          </w:p>
        </w:tc>
        <w:tc>
          <w:tcPr>
            <w:tcW w:w="1888" w:type="dxa"/>
            <w:tcBorders>
              <w:top w:val="nil"/>
              <w:left w:val="nil"/>
              <w:bottom w:val="single" w:sz="4" w:space="0" w:color="auto"/>
              <w:right w:val="single" w:sz="4" w:space="0" w:color="auto"/>
            </w:tcBorders>
            <w:shd w:val="clear" w:color="auto" w:fill="auto"/>
            <w:vAlign w:val="bottom"/>
            <w:hideMark/>
          </w:tcPr>
          <w:p w14:paraId="6EC37722"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4,757,046.16 </w:t>
            </w:r>
          </w:p>
        </w:tc>
        <w:tc>
          <w:tcPr>
            <w:tcW w:w="1743" w:type="dxa"/>
            <w:tcBorders>
              <w:top w:val="nil"/>
              <w:left w:val="nil"/>
              <w:bottom w:val="single" w:sz="4" w:space="0" w:color="auto"/>
              <w:right w:val="single" w:sz="4" w:space="0" w:color="auto"/>
            </w:tcBorders>
            <w:shd w:val="clear" w:color="auto" w:fill="auto"/>
            <w:vAlign w:val="bottom"/>
            <w:hideMark/>
          </w:tcPr>
          <w:p w14:paraId="5BBE3FC5"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4,742,388.16 </w:t>
            </w:r>
          </w:p>
        </w:tc>
        <w:tc>
          <w:tcPr>
            <w:tcW w:w="1350" w:type="dxa"/>
            <w:tcBorders>
              <w:top w:val="nil"/>
              <w:left w:val="nil"/>
              <w:bottom w:val="single" w:sz="4" w:space="0" w:color="auto"/>
              <w:right w:val="single" w:sz="4" w:space="0" w:color="auto"/>
            </w:tcBorders>
            <w:shd w:val="clear" w:color="auto" w:fill="auto"/>
            <w:noWrap/>
            <w:vAlign w:val="bottom"/>
            <w:hideMark/>
          </w:tcPr>
          <w:p w14:paraId="2CA1627A" w14:textId="77777777" w:rsidR="00133E63" w:rsidRPr="00824BC0" w:rsidRDefault="00133E63" w:rsidP="004420EE">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14,658.00 </w:t>
            </w:r>
          </w:p>
        </w:tc>
      </w:tr>
      <w:tr w:rsidR="00133E63" w:rsidRPr="00824BC0" w14:paraId="34404683" w14:textId="77777777" w:rsidTr="004420EE">
        <w:trPr>
          <w:trHeight w:val="153"/>
        </w:trPr>
        <w:tc>
          <w:tcPr>
            <w:tcW w:w="3654" w:type="dxa"/>
            <w:tcBorders>
              <w:top w:val="nil"/>
              <w:left w:val="single" w:sz="4" w:space="0" w:color="auto"/>
              <w:bottom w:val="single" w:sz="4" w:space="0" w:color="auto"/>
              <w:right w:val="single" w:sz="4" w:space="0" w:color="auto"/>
            </w:tcBorders>
            <w:shd w:val="clear" w:color="auto" w:fill="auto"/>
            <w:vAlign w:val="bottom"/>
            <w:hideMark/>
          </w:tcPr>
          <w:p w14:paraId="5FC981BB" w14:textId="77777777" w:rsidR="00133E63" w:rsidRPr="00824BC0" w:rsidRDefault="00133E63" w:rsidP="004420EE">
            <w:pPr>
              <w:spacing w:after="0" w:line="240" w:lineRule="auto"/>
              <w:jc w:val="center"/>
              <w:rPr>
                <w:rFonts w:ascii="Times New Roman" w:hAnsi="Times New Roman" w:cs="Times New Roman"/>
                <w:b/>
                <w:bCs/>
                <w:sz w:val="24"/>
                <w:szCs w:val="24"/>
                <w:lang w:eastAsia="en-PH"/>
              </w:rPr>
            </w:pPr>
            <w:r w:rsidRPr="00824BC0">
              <w:rPr>
                <w:rFonts w:ascii="Times New Roman" w:hAnsi="Times New Roman" w:cs="Times New Roman"/>
                <w:b/>
                <w:bCs/>
                <w:sz w:val="24"/>
                <w:szCs w:val="24"/>
                <w:lang w:eastAsia="en-PH"/>
              </w:rPr>
              <w:t xml:space="preserve">Total Inventories </w:t>
            </w:r>
          </w:p>
        </w:tc>
        <w:tc>
          <w:tcPr>
            <w:tcW w:w="1888" w:type="dxa"/>
            <w:tcBorders>
              <w:top w:val="nil"/>
              <w:left w:val="nil"/>
              <w:bottom w:val="single" w:sz="4" w:space="0" w:color="auto"/>
              <w:right w:val="single" w:sz="4" w:space="0" w:color="auto"/>
            </w:tcBorders>
            <w:shd w:val="clear" w:color="auto" w:fill="auto"/>
            <w:vAlign w:val="bottom"/>
            <w:hideMark/>
          </w:tcPr>
          <w:p w14:paraId="5082DE6A" w14:textId="77777777" w:rsidR="00133E63" w:rsidRPr="00824BC0" w:rsidRDefault="00133E63" w:rsidP="004420EE">
            <w:pPr>
              <w:spacing w:after="0" w:line="240" w:lineRule="auto"/>
              <w:jc w:val="right"/>
              <w:rPr>
                <w:rFonts w:ascii="Times New Roman" w:hAnsi="Times New Roman" w:cs="Times New Roman"/>
                <w:b/>
                <w:bCs/>
                <w:sz w:val="24"/>
                <w:szCs w:val="24"/>
                <w:lang w:eastAsia="en-PH"/>
              </w:rPr>
            </w:pPr>
            <w:r w:rsidRPr="00824BC0">
              <w:rPr>
                <w:rFonts w:ascii="Times New Roman" w:hAnsi="Times New Roman" w:cs="Times New Roman"/>
                <w:b/>
                <w:bCs/>
                <w:sz w:val="24"/>
                <w:szCs w:val="24"/>
              </w:rPr>
              <w:t>₱</w:t>
            </w:r>
            <w:r w:rsidRPr="00824BC0">
              <w:rPr>
                <w:rFonts w:ascii="Times New Roman" w:hAnsi="Times New Roman" w:cs="Times New Roman"/>
                <w:b/>
                <w:bCs/>
                <w:sz w:val="24"/>
                <w:szCs w:val="24"/>
                <w:lang w:eastAsia="en-PH"/>
              </w:rPr>
              <w:t xml:space="preserve">32,998,737.71 </w:t>
            </w:r>
          </w:p>
        </w:tc>
        <w:tc>
          <w:tcPr>
            <w:tcW w:w="1743" w:type="dxa"/>
            <w:tcBorders>
              <w:top w:val="nil"/>
              <w:left w:val="nil"/>
              <w:bottom w:val="single" w:sz="4" w:space="0" w:color="auto"/>
              <w:right w:val="single" w:sz="4" w:space="0" w:color="auto"/>
            </w:tcBorders>
            <w:shd w:val="clear" w:color="auto" w:fill="auto"/>
            <w:vAlign w:val="bottom"/>
            <w:hideMark/>
          </w:tcPr>
          <w:p w14:paraId="479B6F89" w14:textId="77777777" w:rsidR="00133E63" w:rsidRPr="00824BC0" w:rsidRDefault="00133E63" w:rsidP="004420EE">
            <w:pPr>
              <w:spacing w:after="0" w:line="240" w:lineRule="auto"/>
              <w:jc w:val="right"/>
              <w:rPr>
                <w:rFonts w:ascii="Times New Roman" w:hAnsi="Times New Roman" w:cs="Times New Roman"/>
                <w:b/>
                <w:bCs/>
                <w:sz w:val="24"/>
                <w:szCs w:val="24"/>
                <w:lang w:eastAsia="en-PH"/>
              </w:rPr>
            </w:pPr>
            <w:r w:rsidRPr="00824BC0">
              <w:rPr>
                <w:rFonts w:ascii="Times New Roman" w:hAnsi="Times New Roman" w:cs="Times New Roman"/>
                <w:b/>
                <w:bCs/>
                <w:sz w:val="24"/>
                <w:szCs w:val="24"/>
              </w:rPr>
              <w:t>₱</w:t>
            </w:r>
            <w:r w:rsidRPr="00824BC0">
              <w:rPr>
                <w:rFonts w:ascii="Times New Roman" w:hAnsi="Times New Roman" w:cs="Times New Roman"/>
                <w:b/>
                <w:bCs/>
                <w:sz w:val="24"/>
                <w:szCs w:val="24"/>
                <w:lang w:eastAsia="en-PH"/>
              </w:rPr>
              <w:t xml:space="preserve">32,055,456.73 </w:t>
            </w:r>
          </w:p>
        </w:tc>
        <w:tc>
          <w:tcPr>
            <w:tcW w:w="1350" w:type="dxa"/>
            <w:tcBorders>
              <w:top w:val="nil"/>
              <w:left w:val="nil"/>
              <w:bottom w:val="single" w:sz="4" w:space="0" w:color="auto"/>
              <w:right w:val="single" w:sz="4" w:space="0" w:color="auto"/>
            </w:tcBorders>
            <w:shd w:val="clear" w:color="auto" w:fill="auto"/>
            <w:noWrap/>
            <w:vAlign w:val="bottom"/>
            <w:hideMark/>
          </w:tcPr>
          <w:p w14:paraId="3112AB3E" w14:textId="77777777" w:rsidR="00133E63" w:rsidRPr="00824BC0" w:rsidRDefault="00133E63" w:rsidP="004420EE">
            <w:pPr>
              <w:spacing w:after="0" w:line="240" w:lineRule="auto"/>
              <w:jc w:val="right"/>
              <w:rPr>
                <w:rFonts w:ascii="Times New Roman" w:hAnsi="Times New Roman" w:cs="Times New Roman"/>
                <w:b/>
                <w:bCs/>
                <w:sz w:val="24"/>
                <w:szCs w:val="24"/>
                <w:lang w:eastAsia="en-PH"/>
              </w:rPr>
            </w:pPr>
            <w:r w:rsidRPr="00824BC0">
              <w:rPr>
                <w:rFonts w:ascii="Times New Roman" w:hAnsi="Times New Roman" w:cs="Times New Roman"/>
                <w:b/>
                <w:bCs/>
                <w:sz w:val="24"/>
                <w:szCs w:val="24"/>
              </w:rPr>
              <w:t>₱</w:t>
            </w:r>
            <w:r w:rsidRPr="00824BC0">
              <w:rPr>
                <w:rFonts w:ascii="Times New Roman" w:hAnsi="Times New Roman" w:cs="Times New Roman"/>
                <w:b/>
                <w:bCs/>
                <w:sz w:val="24"/>
                <w:szCs w:val="24"/>
                <w:lang w:eastAsia="en-PH"/>
              </w:rPr>
              <w:t xml:space="preserve">943,280.98 </w:t>
            </w:r>
          </w:p>
        </w:tc>
      </w:tr>
    </w:tbl>
    <w:p w14:paraId="20DDD307" w14:textId="77777777" w:rsidR="00133E63" w:rsidRPr="00824BC0" w:rsidRDefault="00133E63" w:rsidP="00133E63">
      <w:pPr>
        <w:spacing w:after="0"/>
        <w:jc w:val="both"/>
        <w:rPr>
          <w:szCs w:val="24"/>
        </w:rPr>
      </w:pPr>
    </w:p>
    <w:p w14:paraId="78F5794C" w14:textId="77777777" w:rsidR="00133E63" w:rsidRPr="00824BC0" w:rsidRDefault="00133E63" w:rsidP="00133E63">
      <w:pPr>
        <w:pStyle w:val="ListParagraph"/>
        <w:numPr>
          <w:ilvl w:val="1"/>
          <w:numId w:val="5"/>
        </w:numPr>
        <w:ind w:left="0" w:firstLine="0"/>
        <w:jc w:val="both"/>
        <w:rPr>
          <w:szCs w:val="24"/>
        </w:rPr>
      </w:pPr>
      <w:r w:rsidRPr="00824BC0">
        <w:rPr>
          <w:szCs w:val="24"/>
        </w:rPr>
        <w:t xml:space="preserve">According to the Accountant, there is an ongoing reconciliation between the accounting and property records to establish the details of the discrepancies. </w:t>
      </w:r>
    </w:p>
    <w:p w14:paraId="7C3B5CEE" w14:textId="77777777" w:rsidR="00133E63" w:rsidRPr="00824BC0" w:rsidRDefault="00133E63" w:rsidP="00133E63">
      <w:pPr>
        <w:pStyle w:val="ListParagraph"/>
        <w:jc w:val="both"/>
        <w:rPr>
          <w:szCs w:val="24"/>
        </w:rPr>
      </w:pPr>
    </w:p>
    <w:p w14:paraId="0C690E46" w14:textId="7B915F93" w:rsidR="00133E63" w:rsidRPr="00824BC0" w:rsidRDefault="00133E63" w:rsidP="00133E63">
      <w:pPr>
        <w:pStyle w:val="ListParagraph"/>
        <w:numPr>
          <w:ilvl w:val="1"/>
          <w:numId w:val="5"/>
        </w:numPr>
        <w:ind w:left="0" w:firstLine="0"/>
        <w:jc w:val="both"/>
        <w:rPr>
          <w:szCs w:val="24"/>
        </w:rPr>
      </w:pPr>
      <w:r w:rsidRPr="00824BC0">
        <w:rPr>
          <w:szCs w:val="24"/>
        </w:rPr>
        <w:t xml:space="preserve">The Audit Team further noted that the Accounting Unit already started preparing Supplies Ledger Cards (SLCs) in compliance with </w:t>
      </w:r>
      <w:r w:rsidR="00FF29C9" w:rsidRPr="00824BC0">
        <w:rPr>
          <w:szCs w:val="24"/>
        </w:rPr>
        <w:t xml:space="preserve">the </w:t>
      </w:r>
      <w:r w:rsidRPr="00824BC0">
        <w:rPr>
          <w:szCs w:val="24"/>
        </w:rPr>
        <w:t xml:space="preserve">audit recommendation in CY 2020. However, the preparation of SLCs was done only for acquisitions of inventories and semi-expendable items in the current year. </w:t>
      </w:r>
    </w:p>
    <w:p w14:paraId="355557FD" w14:textId="77777777" w:rsidR="00133E63" w:rsidRPr="00824BC0" w:rsidRDefault="00133E63" w:rsidP="00133E63">
      <w:pPr>
        <w:pStyle w:val="ListParagraph"/>
        <w:overflowPunct w:val="0"/>
        <w:autoSpaceDE w:val="0"/>
        <w:autoSpaceDN w:val="0"/>
        <w:adjustRightInd w:val="0"/>
        <w:jc w:val="both"/>
        <w:textAlignment w:val="baseline"/>
        <w:rPr>
          <w:szCs w:val="24"/>
        </w:rPr>
      </w:pPr>
    </w:p>
    <w:p w14:paraId="261D6678" w14:textId="77777777" w:rsidR="00133E63" w:rsidRPr="00824BC0" w:rsidRDefault="00133E63" w:rsidP="00133E63">
      <w:pPr>
        <w:pStyle w:val="ListParagraph"/>
        <w:numPr>
          <w:ilvl w:val="1"/>
          <w:numId w:val="5"/>
        </w:numPr>
        <w:ind w:left="0" w:firstLine="0"/>
        <w:jc w:val="both"/>
        <w:rPr>
          <w:szCs w:val="24"/>
        </w:rPr>
      </w:pPr>
      <w:r w:rsidRPr="00824BC0">
        <w:rPr>
          <w:szCs w:val="24"/>
        </w:rPr>
        <w:t>The maintenance of SLC is a requirement under Section 17, Chapter 8, GAM for NGAs, Volume I, viz:</w:t>
      </w:r>
    </w:p>
    <w:p w14:paraId="50F0D01A" w14:textId="77777777" w:rsidR="00133E63" w:rsidRPr="00824BC0" w:rsidRDefault="00133E63" w:rsidP="00133E63">
      <w:pPr>
        <w:pStyle w:val="ListParagraph"/>
        <w:jc w:val="both"/>
        <w:rPr>
          <w:szCs w:val="24"/>
        </w:rPr>
      </w:pPr>
    </w:p>
    <w:p w14:paraId="416C4C5D" w14:textId="77777777" w:rsidR="00133E63" w:rsidRPr="00824BC0" w:rsidRDefault="00133E63" w:rsidP="00133E63">
      <w:pPr>
        <w:pStyle w:val="ListParagraph"/>
        <w:ind w:right="1080"/>
        <w:jc w:val="both"/>
        <w:rPr>
          <w:i/>
          <w:szCs w:val="24"/>
        </w:rPr>
      </w:pPr>
      <w:r w:rsidRPr="00824BC0">
        <w:rPr>
          <w:i/>
          <w:szCs w:val="24"/>
        </w:rPr>
        <w:t>Supplies Ledger Card (SLC) (</w:t>
      </w:r>
      <w:r w:rsidRPr="00824BC0">
        <w:rPr>
          <w:i/>
          <w:iCs/>
          <w:szCs w:val="24"/>
        </w:rPr>
        <w:t>Appendix 57</w:t>
      </w:r>
      <w:r w:rsidRPr="00824BC0">
        <w:rPr>
          <w:i/>
          <w:szCs w:val="24"/>
        </w:rPr>
        <w:t>) – shall be used to record materials received, issued and the balance of both in quantity and amount at any time. It shall be maintained by the Accounting Division/Unit for each kind of supplies and materials. The IAR. RIS, RSMI, PO and DR serve as the original sources of information for making entries on the card.</w:t>
      </w:r>
    </w:p>
    <w:p w14:paraId="72BA5A3B" w14:textId="77777777" w:rsidR="00133E63" w:rsidRPr="00824BC0" w:rsidRDefault="00133E63" w:rsidP="00133E63">
      <w:pPr>
        <w:pStyle w:val="ListParagraph"/>
        <w:jc w:val="both"/>
        <w:rPr>
          <w:szCs w:val="24"/>
        </w:rPr>
      </w:pPr>
    </w:p>
    <w:p w14:paraId="72249074" w14:textId="77777777" w:rsidR="00133E63" w:rsidRPr="00824BC0" w:rsidRDefault="00133E63" w:rsidP="00133E63">
      <w:pPr>
        <w:pStyle w:val="ListParagraph"/>
        <w:numPr>
          <w:ilvl w:val="1"/>
          <w:numId w:val="5"/>
        </w:numPr>
        <w:ind w:left="0" w:firstLine="0"/>
        <w:jc w:val="both"/>
        <w:rPr>
          <w:szCs w:val="24"/>
        </w:rPr>
      </w:pPr>
      <w:r w:rsidRPr="00824BC0">
        <w:rPr>
          <w:szCs w:val="24"/>
        </w:rPr>
        <w:t>The instructions for accomplishing the ledger cards are provided in Appendix 57, GAM for NGAs, Volume II, Item D of which instructs agencies that:</w:t>
      </w:r>
    </w:p>
    <w:p w14:paraId="7FC69844" w14:textId="77777777" w:rsidR="00133E63" w:rsidRPr="00824BC0" w:rsidRDefault="00133E63" w:rsidP="00133E63">
      <w:pPr>
        <w:pStyle w:val="ListParagraph"/>
        <w:jc w:val="both"/>
        <w:rPr>
          <w:szCs w:val="24"/>
        </w:rPr>
      </w:pPr>
    </w:p>
    <w:p w14:paraId="00CC58BA" w14:textId="77777777" w:rsidR="00133E63" w:rsidRPr="00824BC0" w:rsidRDefault="00133E63" w:rsidP="00133E63">
      <w:pPr>
        <w:pStyle w:val="ListParagraph"/>
        <w:ind w:right="1080"/>
        <w:jc w:val="both"/>
        <w:rPr>
          <w:i/>
          <w:iCs/>
          <w:szCs w:val="24"/>
        </w:rPr>
      </w:pPr>
      <w:r w:rsidRPr="00824BC0">
        <w:rPr>
          <w:i/>
          <w:iCs/>
          <w:szCs w:val="24"/>
        </w:rPr>
        <w:t>The agency shall conduct physical count of inventories every semester. The physical inventory of supplies shall be reconciled with the SLCs and controlling accounts of Supply and/or Property records. Any discrepancies shall be immediately verified and adjusted.</w:t>
      </w:r>
    </w:p>
    <w:p w14:paraId="3A7479F7" w14:textId="77777777" w:rsidR="00133E63" w:rsidRPr="00824BC0" w:rsidRDefault="00133E63" w:rsidP="00133E63">
      <w:pPr>
        <w:pStyle w:val="ListParagraph"/>
        <w:jc w:val="both"/>
        <w:rPr>
          <w:szCs w:val="24"/>
        </w:rPr>
      </w:pPr>
    </w:p>
    <w:p w14:paraId="2177BA85" w14:textId="23570DCD" w:rsidR="00133E63" w:rsidRPr="00824BC0" w:rsidRDefault="00133E63" w:rsidP="00133E63">
      <w:pPr>
        <w:pStyle w:val="ListParagraph"/>
        <w:numPr>
          <w:ilvl w:val="1"/>
          <w:numId w:val="5"/>
        </w:numPr>
        <w:ind w:left="0" w:firstLine="0"/>
        <w:jc w:val="both"/>
        <w:rPr>
          <w:szCs w:val="24"/>
        </w:rPr>
      </w:pPr>
      <w:r w:rsidRPr="00824BC0">
        <w:rPr>
          <w:szCs w:val="24"/>
        </w:rPr>
        <w:t xml:space="preserve">Upon inquiry with the Accountant, we gathered that a personnel was hired in October 2021 to focus on the preparation of the SLCs. Incidentally, those inventories acquired last year have </w:t>
      </w:r>
      <w:r w:rsidR="00BA575D">
        <w:rPr>
          <w:szCs w:val="24"/>
        </w:rPr>
        <w:t xml:space="preserve">yet to be </w:t>
      </w:r>
      <w:r w:rsidRPr="00824BC0">
        <w:rPr>
          <w:szCs w:val="24"/>
        </w:rPr>
        <w:t xml:space="preserve">supported with SLCs as of this writing. As such, it was </w:t>
      </w:r>
      <w:r w:rsidRPr="00824BC0">
        <w:rPr>
          <w:szCs w:val="24"/>
        </w:rPr>
        <w:lastRenderedPageBreak/>
        <w:t xml:space="preserve">difficult for them to determine and monitor the materials purchased and issued, as well as the remaining balance of the inventories both in quantity and amount at a given time. </w:t>
      </w:r>
    </w:p>
    <w:p w14:paraId="093B51B1" w14:textId="77777777" w:rsidR="00133E63" w:rsidRPr="00824BC0" w:rsidRDefault="00133E63" w:rsidP="00133E63">
      <w:pPr>
        <w:pStyle w:val="ListParagraph"/>
        <w:ind w:left="0"/>
        <w:jc w:val="both"/>
        <w:rPr>
          <w:szCs w:val="24"/>
        </w:rPr>
      </w:pPr>
    </w:p>
    <w:p w14:paraId="43B9B0D1" w14:textId="77777777" w:rsidR="00133E63" w:rsidRPr="00824BC0" w:rsidRDefault="00133E63" w:rsidP="00133E63">
      <w:pPr>
        <w:pStyle w:val="ListParagraph"/>
        <w:numPr>
          <w:ilvl w:val="1"/>
          <w:numId w:val="5"/>
        </w:numPr>
        <w:ind w:left="0" w:firstLine="0"/>
        <w:jc w:val="both"/>
        <w:rPr>
          <w:szCs w:val="24"/>
        </w:rPr>
      </w:pPr>
      <w:r w:rsidRPr="00824BC0">
        <w:rPr>
          <w:szCs w:val="24"/>
        </w:rPr>
        <w:t xml:space="preserve">Despite the efforts of the two offices in reconciling their records, a larger amount of discrepancy was identified in CY 2021 as compared to last year. Their continued inability to resolve this matter rendered doubt on the accuracy and reliability of the amounts presented in the FS of BASC. </w:t>
      </w:r>
    </w:p>
    <w:p w14:paraId="45C120A3" w14:textId="77777777" w:rsidR="00133E63" w:rsidRPr="00824BC0" w:rsidRDefault="00133E63" w:rsidP="00133E63">
      <w:pPr>
        <w:pStyle w:val="ListParagraph"/>
        <w:jc w:val="both"/>
        <w:rPr>
          <w:szCs w:val="24"/>
        </w:rPr>
      </w:pPr>
    </w:p>
    <w:p w14:paraId="1D0DD779" w14:textId="2E528906" w:rsidR="00133E63" w:rsidRPr="00824BC0" w:rsidRDefault="00FF29C9" w:rsidP="00133E63">
      <w:pPr>
        <w:pStyle w:val="ListParagraph"/>
        <w:numPr>
          <w:ilvl w:val="1"/>
          <w:numId w:val="5"/>
        </w:numPr>
        <w:ind w:left="0" w:firstLine="0"/>
        <w:jc w:val="both"/>
        <w:rPr>
          <w:szCs w:val="24"/>
        </w:rPr>
      </w:pPr>
      <w:r w:rsidRPr="00824BC0">
        <w:rPr>
          <w:b/>
          <w:bCs/>
          <w:szCs w:val="24"/>
        </w:rPr>
        <w:t>We</w:t>
      </w:r>
      <w:r w:rsidR="00133E63" w:rsidRPr="00824BC0">
        <w:rPr>
          <w:b/>
          <w:bCs/>
          <w:szCs w:val="24"/>
        </w:rPr>
        <w:t xml:space="preserve"> recommended and Management agreed to: (a) instruct the Accountant and the Supply Unit to facilitate the reconciliation of</w:t>
      </w:r>
      <w:r w:rsidRPr="00824BC0">
        <w:rPr>
          <w:b/>
          <w:bCs/>
          <w:szCs w:val="24"/>
        </w:rPr>
        <w:t xml:space="preserve"> the accounting books </w:t>
      </w:r>
      <w:r w:rsidR="00133E63" w:rsidRPr="00824BC0">
        <w:rPr>
          <w:b/>
          <w:bCs/>
          <w:szCs w:val="24"/>
        </w:rPr>
        <w:t xml:space="preserve">and </w:t>
      </w:r>
      <w:r w:rsidRPr="00824BC0">
        <w:rPr>
          <w:b/>
          <w:bCs/>
          <w:szCs w:val="24"/>
        </w:rPr>
        <w:t>property records</w:t>
      </w:r>
      <w:r w:rsidR="00656AA4">
        <w:rPr>
          <w:b/>
          <w:bCs/>
          <w:szCs w:val="24"/>
        </w:rPr>
        <w:t>, and immediately adjust the discrepancies noted,</w:t>
      </w:r>
      <w:r w:rsidR="00133E63" w:rsidRPr="00824BC0">
        <w:rPr>
          <w:b/>
          <w:bCs/>
          <w:szCs w:val="24"/>
        </w:rPr>
        <w:t xml:space="preserve"> as warranted</w:t>
      </w:r>
      <w:r w:rsidR="00656AA4">
        <w:rPr>
          <w:b/>
          <w:bCs/>
          <w:szCs w:val="24"/>
        </w:rPr>
        <w:t>; and</w:t>
      </w:r>
      <w:r w:rsidR="00133E63" w:rsidRPr="00824BC0">
        <w:rPr>
          <w:b/>
          <w:bCs/>
          <w:szCs w:val="24"/>
        </w:rPr>
        <w:t xml:space="preserve"> (b) instruct the University Accountant to prepare </w:t>
      </w:r>
      <w:r w:rsidR="00EF0D8A" w:rsidRPr="00824BC0">
        <w:rPr>
          <w:b/>
          <w:bCs/>
          <w:szCs w:val="24"/>
        </w:rPr>
        <w:t>Supplies and Ledger Cards (</w:t>
      </w:r>
      <w:r w:rsidR="00133E63" w:rsidRPr="00824BC0">
        <w:rPr>
          <w:b/>
          <w:bCs/>
          <w:szCs w:val="24"/>
        </w:rPr>
        <w:t>SLCs</w:t>
      </w:r>
      <w:r w:rsidR="00EF0D8A" w:rsidRPr="00824BC0">
        <w:rPr>
          <w:b/>
          <w:bCs/>
          <w:szCs w:val="24"/>
        </w:rPr>
        <w:t>)</w:t>
      </w:r>
      <w:r w:rsidR="00133E63" w:rsidRPr="00824BC0">
        <w:rPr>
          <w:b/>
          <w:bCs/>
          <w:szCs w:val="24"/>
        </w:rPr>
        <w:t xml:space="preserve"> for each kind of supplies and materials as required in Section 17, Chapter 8 of GAM for NGAs, Volume II.</w:t>
      </w:r>
    </w:p>
    <w:p w14:paraId="370FF0A9" w14:textId="77777777" w:rsidR="00133E63" w:rsidRPr="00824BC0" w:rsidRDefault="00133E63" w:rsidP="00133E63">
      <w:pPr>
        <w:pStyle w:val="ListParagraph"/>
        <w:rPr>
          <w:szCs w:val="24"/>
        </w:rPr>
      </w:pPr>
    </w:p>
    <w:p w14:paraId="7990439B" w14:textId="77777777" w:rsidR="00133E63" w:rsidRPr="00824BC0" w:rsidRDefault="00133E63" w:rsidP="00133E63">
      <w:pPr>
        <w:pStyle w:val="ListParagraph"/>
        <w:ind w:left="0"/>
        <w:jc w:val="both"/>
        <w:rPr>
          <w:i/>
          <w:szCs w:val="24"/>
        </w:rPr>
      </w:pPr>
      <w:r w:rsidRPr="00824BC0">
        <w:rPr>
          <w:i/>
          <w:szCs w:val="24"/>
        </w:rPr>
        <w:t>Management Comments:</w:t>
      </w:r>
    </w:p>
    <w:p w14:paraId="2E7E84B3" w14:textId="77777777" w:rsidR="00133E63" w:rsidRPr="00824BC0" w:rsidRDefault="00133E63" w:rsidP="00133E63">
      <w:pPr>
        <w:pStyle w:val="ListParagraph"/>
        <w:ind w:left="0"/>
        <w:jc w:val="both"/>
        <w:rPr>
          <w:szCs w:val="24"/>
        </w:rPr>
      </w:pPr>
    </w:p>
    <w:p w14:paraId="46B59660" w14:textId="76B27568" w:rsidR="00133E63" w:rsidRPr="00824BC0" w:rsidRDefault="00133E63" w:rsidP="00133E63">
      <w:pPr>
        <w:pStyle w:val="ListParagraph"/>
        <w:numPr>
          <w:ilvl w:val="1"/>
          <w:numId w:val="5"/>
        </w:numPr>
        <w:ind w:left="0" w:firstLine="0"/>
        <w:jc w:val="both"/>
        <w:rPr>
          <w:szCs w:val="24"/>
        </w:rPr>
      </w:pPr>
      <w:r w:rsidRPr="00824BC0">
        <w:rPr>
          <w:szCs w:val="24"/>
        </w:rPr>
        <w:t xml:space="preserve">In </w:t>
      </w:r>
      <w:r w:rsidR="00EF0D8A" w:rsidRPr="00824BC0">
        <w:rPr>
          <w:szCs w:val="24"/>
        </w:rPr>
        <w:t>Management’s written</w:t>
      </w:r>
      <w:r w:rsidRPr="00824BC0">
        <w:rPr>
          <w:szCs w:val="24"/>
        </w:rPr>
        <w:t xml:space="preserve"> reply to AOM No. 2022-05(2021) dated March 30, 2022, the Audit Team</w:t>
      </w:r>
      <w:r w:rsidR="00EF0D8A" w:rsidRPr="00824BC0">
        <w:rPr>
          <w:szCs w:val="24"/>
        </w:rPr>
        <w:t xml:space="preserve"> was informed</w:t>
      </w:r>
      <w:r w:rsidRPr="00824BC0">
        <w:rPr>
          <w:szCs w:val="24"/>
        </w:rPr>
        <w:t xml:space="preserve"> that the College Accountant and the Property Officer have been instructed through a memorandum to reconcile their records and accordingly adjust the book</w:t>
      </w:r>
      <w:r w:rsidR="00EF0D8A" w:rsidRPr="00824BC0">
        <w:rPr>
          <w:szCs w:val="24"/>
        </w:rPr>
        <w:t>s</w:t>
      </w:r>
      <w:r w:rsidRPr="00824BC0">
        <w:rPr>
          <w:szCs w:val="24"/>
        </w:rPr>
        <w:t xml:space="preserve"> of accounts and property records.  As of this writing, some accounts were already partially reconciled and Journal Entry Vouchers (JEVs) have been drawn to effect the adjustments. Management has furnished the Report of Reconciliation and copies of the JEVs to the Audit Team for verification.  Reconciliation of the rest of the accounts is currently ongoing.  The Accounting and Property Offices committed to fully reconcile their records</w:t>
      </w:r>
      <w:r w:rsidR="008C69CD" w:rsidRPr="00824BC0">
        <w:rPr>
          <w:szCs w:val="24"/>
        </w:rPr>
        <w:t xml:space="preserve"> by </w:t>
      </w:r>
      <w:r w:rsidR="00656AA4">
        <w:rPr>
          <w:szCs w:val="24"/>
        </w:rPr>
        <w:t>June 30, 2022</w:t>
      </w:r>
      <w:r w:rsidRPr="00824BC0">
        <w:rPr>
          <w:szCs w:val="24"/>
        </w:rPr>
        <w:t>.</w:t>
      </w:r>
    </w:p>
    <w:p w14:paraId="3F56C86D" w14:textId="77777777" w:rsidR="00133E63" w:rsidRPr="00824BC0" w:rsidRDefault="00133E63" w:rsidP="00133E63">
      <w:pPr>
        <w:pStyle w:val="ListParagraph"/>
        <w:ind w:left="0"/>
        <w:jc w:val="both"/>
        <w:rPr>
          <w:szCs w:val="24"/>
        </w:rPr>
      </w:pPr>
    </w:p>
    <w:p w14:paraId="7F53D87B" w14:textId="0F211F01" w:rsidR="00133E63" w:rsidRPr="00824BC0" w:rsidRDefault="00133E63" w:rsidP="00133E63">
      <w:pPr>
        <w:pStyle w:val="ListParagraph"/>
        <w:numPr>
          <w:ilvl w:val="1"/>
          <w:numId w:val="5"/>
        </w:numPr>
        <w:ind w:left="0" w:firstLine="0"/>
        <w:jc w:val="both"/>
        <w:rPr>
          <w:szCs w:val="24"/>
        </w:rPr>
      </w:pPr>
      <w:r w:rsidRPr="00824BC0">
        <w:rPr>
          <w:szCs w:val="24"/>
        </w:rPr>
        <w:t xml:space="preserve">Moreover, the Accounting Office informed the Audit Team during the exit conference that they </w:t>
      </w:r>
      <w:r w:rsidR="008C69CD" w:rsidRPr="00824BC0">
        <w:rPr>
          <w:szCs w:val="24"/>
        </w:rPr>
        <w:t xml:space="preserve">already started </w:t>
      </w:r>
      <w:r w:rsidRPr="00824BC0">
        <w:rPr>
          <w:szCs w:val="24"/>
        </w:rPr>
        <w:t>preparing Supplies Ledger Cards (SLCs) for both Fund 101 and 164 for the months of January and February, 2022.  Additionally, the Accounting Unit has also started the preparation of SLCs for the calendar years 2021 and</w:t>
      </w:r>
      <w:r w:rsidR="008C69CD" w:rsidRPr="00824BC0">
        <w:rPr>
          <w:szCs w:val="24"/>
        </w:rPr>
        <w:t xml:space="preserve"> prior years</w:t>
      </w:r>
      <w:r w:rsidRPr="00824BC0">
        <w:rPr>
          <w:szCs w:val="24"/>
        </w:rPr>
        <w:t>.</w:t>
      </w:r>
    </w:p>
    <w:p w14:paraId="6F15EF07" w14:textId="77777777" w:rsidR="00133E63" w:rsidRPr="00824BC0" w:rsidRDefault="00133E63" w:rsidP="00C93787">
      <w:pPr>
        <w:spacing w:after="0" w:line="240" w:lineRule="auto"/>
        <w:jc w:val="both"/>
        <w:rPr>
          <w:rFonts w:ascii="Times New Roman" w:hAnsi="Times New Roman" w:cs="Times New Roman"/>
          <w:sz w:val="24"/>
          <w:szCs w:val="26"/>
        </w:rPr>
      </w:pPr>
    </w:p>
    <w:p w14:paraId="11C51DE4" w14:textId="77777777" w:rsidR="00D005ED" w:rsidRPr="00824BC0" w:rsidRDefault="00D005ED" w:rsidP="00C93787">
      <w:pPr>
        <w:spacing w:after="0" w:line="240" w:lineRule="auto"/>
        <w:jc w:val="both"/>
        <w:rPr>
          <w:rFonts w:ascii="Times New Roman" w:hAnsi="Times New Roman" w:cs="Times New Roman"/>
          <w:sz w:val="24"/>
          <w:szCs w:val="26"/>
        </w:rPr>
      </w:pPr>
    </w:p>
    <w:p w14:paraId="677732D1" w14:textId="5FF637B9" w:rsidR="005643D9" w:rsidRPr="00824BC0" w:rsidRDefault="00C93787" w:rsidP="00C93787">
      <w:pPr>
        <w:spacing w:after="0" w:line="240" w:lineRule="auto"/>
        <w:jc w:val="both"/>
        <w:rPr>
          <w:rFonts w:ascii="Times New Roman" w:hAnsi="Times New Roman" w:cs="Times New Roman"/>
          <w:sz w:val="24"/>
          <w:szCs w:val="26"/>
        </w:rPr>
      </w:pPr>
      <w:r w:rsidRPr="00824BC0">
        <w:rPr>
          <w:rFonts w:ascii="Times New Roman" w:hAnsi="Times New Roman" w:cs="Times New Roman"/>
          <w:i/>
          <w:iCs/>
          <w:sz w:val="24"/>
          <w:szCs w:val="26"/>
        </w:rPr>
        <w:t>Erroneous recording of Smart Campus Development Funds – ₱25 million</w:t>
      </w:r>
    </w:p>
    <w:p w14:paraId="03C4A31B" w14:textId="29B1EFB1" w:rsidR="00C93787" w:rsidRPr="00824BC0" w:rsidRDefault="00C93787" w:rsidP="00C93787">
      <w:pPr>
        <w:spacing w:after="0" w:line="240" w:lineRule="auto"/>
        <w:jc w:val="both"/>
        <w:rPr>
          <w:rFonts w:ascii="Times New Roman" w:hAnsi="Times New Roman" w:cs="Times New Roman"/>
          <w:sz w:val="24"/>
          <w:szCs w:val="24"/>
        </w:rPr>
      </w:pPr>
    </w:p>
    <w:p w14:paraId="7CFEBFC9" w14:textId="6111C6BC" w:rsidR="00C93787" w:rsidRPr="00824BC0" w:rsidRDefault="00C93787" w:rsidP="00C93787">
      <w:pPr>
        <w:pStyle w:val="ListParagraph"/>
        <w:numPr>
          <w:ilvl w:val="0"/>
          <w:numId w:val="5"/>
        </w:numPr>
        <w:ind w:left="0" w:firstLine="0"/>
        <w:jc w:val="both"/>
        <w:rPr>
          <w:b/>
          <w:bCs/>
          <w:i/>
          <w:iCs/>
          <w:szCs w:val="24"/>
        </w:rPr>
      </w:pPr>
      <w:r w:rsidRPr="00824BC0">
        <w:rPr>
          <w:b/>
          <w:bCs/>
          <w:i/>
          <w:iCs/>
          <w:szCs w:val="24"/>
        </w:rPr>
        <w:t xml:space="preserve">The grant of financial assistance from the Commission on Higher Education (CHED) under the Smart Campus Development Program was recognized in the books as a liability instead of revenue despite the issuance of </w:t>
      </w:r>
      <w:r w:rsidR="00FB4E63" w:rsidRPr="00824BC0">
        <w:rPr>
          <w:b/>
          <w:bCs/>
          <w:i/>
          <w:iCs/>
          <w:szCs w:val="24"/>
        </w:rPr>
        <w:t xml:space="preserve">a </w:t>
      </w:r>
      <w:r w:rsidRPr="00824BC0">
        <w:rPr>
          <w:b/>
          <w:bCs/>
          <w:i/>
          <w:iCs/>
          <w:szCs w:val="24"/>
        </w:rPr>
        <w:t xml:space="preserve">Memorandum by the Office of the CHED Executive Director dated December 6, 2021 clarifying the nature of the funds as a donation, resulting </w:t>
      </w:r>
      <w:r w:rsidR="00FB4E63" w:rsidRPr="00824BC0">
        <w:rPr>
          <w:b/>
          <w:bCs/>
          <w:i/>
          <w:iCs/>
          <w:szCs w:val="24"/>
        </w:rPr>
        <w:t>in</w:t>
      </w:r>
      <w:r w:rsidRPr="00824BC0">
        <w:rPr>
          <w:b/>
          <w:bCs/>
          <w:i/>
          <w:iCs/>
          <w:szCs w:val="24"/>
        </w:rPr>
        <w:t xml:space="preserve"> the </w:t>
      </w:r>
      <w:r w:rsidR="00632670" w:rsidRPr="00824BC0">
        <w:rPr>
          <w:b/>
          <w:bCs/>
          <w:i/>
          <w:iCs/>
          <w:szCs w:val="24"/>
        </w:rPr>
        <w:t>overstatement</w:t>
      </w:r>
      <w:r w:rsidRPr="00824BC0">
        <w:rPr>
          <w:b/>
          <w:bCs/>
          <w:i/>
          <w:iCs/>
          <w:szCs w:val="24"/>
        </w:rPr>
        <w:t xml:space="preserve"> of the Due to NGAs and</w:t>
      </w:r>
      <w:r w:rsidR="008C69CD" w:rsidRPr="00824BC0">
        <w:rPr>
          <w:b/>
          <w:bCs/>
          <w:i/>
          <w:iCs/>
          <w:szCs w:val="24"/>
        </w:rPr>
        <w:t xml:space="preserve"> understatement of </w:t>
      </w:r>
      <w:r w:rsidRPr="00824BC0">
        <w:rPr>
          <w:b/>
          <w:bCs/>
          <w:i/>
          <w:iCs/>
          <w:szCs w:val="24"/>
        </w:rPr>
        <w:t xml:space="preserve"> Income from Grants and Donations account by</w:t>
      </w:r>
      <w:r w:rsidR="00632670" w:rsidRPr="00824BC0">
        <w:rPr>
          <w:b/>
          <w:bCs/>
          <w:i/>
          <w:iCs/>
          <w:szCs w:val="24"/>
        </w:rPr>
        <w:t xml:space="preserve"> the same amount of</w:t>
      </w:r>
      <w:r w:rsidRPr="00824BC0">
        <w:rPr>
          <w:b/>
          <w:bCs/>
          <w:i/>
          <w:iCs/>
          <w:szCs w:val="24"/>
        </w:rPr>
        <w:t xml:space="preserve"> ₱25,000,000.00 as of December 31, 2021.</w:t>
      </w:r>
    </w:p>
    <w:p w14:paraId="5410885D" w14:textId="77777777" w:rsidR="00C93787" w:rsidRPr="00824BC0" w:rsidRDefault="00C93787" w:rsidP="00C93787">
      <w:pPr>
        <w:spacing w:after="0" w:line="240" w:lineRule="auto"/>
        <w:jc w:val="both"/>
        <w:rPr>
          <w:rFonts w:ascii="Times New Roman" w:hAnsi="Times New Roman" w:cs="Times New Roman"/>
          <w:b/>
          <w:bCs/>
          <w:i/>
          <w:iCs/>
          <w:sz w:val="24"/>
          <w:szCs w:val="24"/>
        </w:rPr>
      </w:pPr>
    </w:p>
    <w:p w14:paraId="3689451E" w14:textId="268D7BB6" w:rsidR="00C93787" w:rsidRPr="00824BC0" w:rsidRDefault="00C93787" w:rsidP="00C93787">
      <w:pPr>
        <w:pStyle w:val="ListParagraph"/>
        <w:numPr>
          <w:ilvl w:val="1"/>
          <w:numId w:val="5"/>
        </w:numPr>
        <w:ind w:left="0" w:firstLine="0"/>
        <w:jc w:val="both"/>
        <w:rPr>
          <w:szCs w:val="24"/>
        </w:rPr>
      </w:pPr>
      <w:r w:rsidRPr="00824BC0">
        <w:rPr>
          <w:szCs w:val="24"/>
        </w:rPr>
        <w:t xml:space="preserve">Republic Act (R.A.) No. 11494 dated September 11, 2020 otherwise known as the “Bayanihan to Recover as One Act” (BARO Act), particularly Section 10(i), appropriated </w:t>
      </w:r>
      <w:r w:rsidRPr="00824BC0">
        <w:rPr>
          <w:i/>
          <w:iCs/>
          <w:szCs w:val="24"/>
        </w:rPr>
        <w:t xml:space="preserve">three billion pesos (₱3,000,000,000.00) to assist State Universities and Colleges (SUCs) </w:t>
      </w:r>
      <w:r w:rsidRPr="00824BC0">
        <w:rPr>
          <w:i/>
          <w:iCs/>
          <w:szCs w:val="24"/>
        </w:rPr>
        <w:lastRenderedPageBreak/>
        <w:t>in the development of smart campuses through investments in ICT infrastructure, acquisition of learning management systems and other appropriate equipment to fully implement flexible learning modalities.</w:t>
      </w:r>
      <w:r w:rsidRPr="00824BC0">
        <w:rPr>
          <w:szCs w:val="24"/>
        </w:rPr>
        <w:t xml:space="preserve"> In accordance with the R.A., the Commission on Higher Education (CHED) issued Memorandum Order (MO) No. 9, series of 2020, dated October 12, 2020 prescribing the Guidelines on the Allocation of Financial Assistance for State Universities and Colleges for the Development of Smart Campuses as provided in Section 10(i) of R.A. No. 11494.  Under the MO, eligible SUCs will be granted a financial assistance of no more than ₱25,000,000.00 for each submitted proposal, subject to the evaluation of the Technical Working Group (TWG) for Smart Campus Development and the approval of the Commission en Banc </w:t>
      </w:r>
      <w:r w:rsidRPr="00824BC0">
        <w:rPr>
          <w:i/>
          <w:iCs/>
          <w:szCs w:val="24"/>
        </w:rPr>
        <w:t>(Item V.a)</w:t>
      </w:r>
      <w:r w:rsidRPr="00824BC0">
        <w:rPr>
          <w:szCs w:val="24"/>
        </w:rPr>
        <w:t xml:space="preserve">.  The financial assistance must be disbursed by the SUC within one calendar year upon receipt thereof extendable by six more months upon submission of a letter request 60 days before the expiration of the MOA and subject to the approval of the Commission </w:t>
      </w:r>
      <w:r w:rsidRPr="00824BC0">
        <w:rPr>
          <w:i/>
          <w:iCs/>
          <w:szCs w:val="24"/>
        </w:rPr>
        <w:t>(Item V.e)</w:t>
      </w:r>
      <w:r w:rsidRPr="00824BC0">
        <w:rPr>
          <w:szCs w:val="24"/>
        </w:rPr>
        <w:t>.</w:t>
      </w:r>
    </w:p>
    <w:p w14:paraId="1F06AB89" w14:textId="77777777" w:rsidR="00C93787" w:rsidRPr="00824BC0" w:rsidRDefault="00C93787" w:rsidP="00C93787">
      <w:pPr>
        <w:spacing w:after="0" w:line="240" w:lineRule="auto"/>
        <w:ind w:firstLine="720"/>
        <w:jc w:val="both"/>
        <w:rPr>
          <w:rFonts w:ascii="Times New Roman" w:hAnsi="Times New Roman" w:cs="Times New Roman"/>
          <w:i/>
          <w:iCs/>
          <w:sz w:val="24"/>
          <w:szCs w:val="24"/>
        </w:rPr>
      </w:pPr>
      <w:r w:rsidRPr="00824BC0">
        <w:rPr>
          <w:rFonts w:ascii="Times New Roman" w:hAnsi="Times New Roman" w:cs="Times New Roman"/>
          <w:sz w:val="24"/>
          <w:szCs w:val="24"/>
        </w:rPr>
        <w:t xml:space="preserve">  </w:t>
      </w:r>
      <w:r w:rsidRPr="00824BC0">
        <w:rPr>
          <w:rFonts w:ascii="Times New Roman" w:hAnsi="Times New Roman" w:cs="Times New Roman"/>
          <w:i/>
          <w:iCs/>
          <w:sz w:val="24"/>
          <w:szCs w:val="24"/>
        </w:rPr>
        <w:t xml:space="preserve"> </w:t>
      </w:r>
    </w:p>
    <w:p w14:paraId="5DEF693B" w14:textId="780A4D63" w:rsidR="00C93787" w:rsidRPr="00824BC0" w:rsidRDefault="00C93787" w:rsidP="00C93787">
      <w:pPr>
        <w:pStyle w:val="ListParagraph"/>
        <w:numPr>
          <w:ilvl w:val="1"/>
          <w:numId w:val="5"/>
        </w:numPr>
        <w:ind w:left="0" w:firstLine="0"/>
        <w:jc w:val="both"/>
        <w:rPr>
          <w:bCs/>
          <w:szCs w:val="24"/>
        </w:rPr>
      </w:pPr>
      <w:r w:rsidRPr="00824BC0">
        <w:rPr>
          <w:szCs w:val="24"/>
        </w:rPr>
        <w:t xml:space="preserve">The Bulacan Agricultural State College (BASC) submitted to CHED a proposal for a project titled </w:t>
      </w:r>
      <w:r w:rsidRPr="00824BC0">
        <w:rPr>
          <w:bCs/>
          <w:i/>
          <w:iCs/>
          <w:szCs w:val="24"/>
        </w:rPr>
        <w:t>Learning Management System for Bulacan Agricultural State College</w:t>
      </w:r>
      <w:r w:rsidRPr="00824BC0">
        <w:rPr>
          <w:bCs/>
          <w:szCs w:val="24"/>
        </w:rPr>
        <w:t xml:space="preserve"> which aims to improve the teaching, learning and assessment processes which will complement the agriculture and allied discipline programs of the BASC.  The facility will maintain the integrity of</w:t>
      </w:r>
      <w:r w:rsidR="00632670" w:rsidRPr="00824BC0">
        <w:rPr>
          <w:bCs/>
          <w:szCs w:val="24"/>
        </w:rPr>
        <w:t xml:space="preserve"> the</w:t>
      </w:r>
      <w:r w:rsidRPr="00824BC0">
        <w:rPr>
          <w:bCs/>
          <w:szCs w:val="24"/>
        </w:rPr>
        <w:t xml:space="preserve"> BASC educational programs and enable the faculty to effectively and efficiently develop courses</w:t>
      </w:r>
      <w:r w:rsidR="00632670" w:rsidRPr="00824BC0">
        <w:rPr>
          <w:bCs/>
          <w:szCs w:val="24"/>
        </w:rPr>
        <w:t xml:space="preserve">; </w:t>
      </w:r>
      <w:r w:rsidRPr="00824BC0">
        <w:rPr>
          <w:bCs/>
          <w:szCs w:val="24"/>
        </w:rPr>
        <w:t>deliver instruction</w:t>
      </w:r>
      <w:r w:rsidR="00632670" w:rsidRPr="00824BC0">
        <w:rPr>
          <w:bCs/>
          <w:szCs w:val="24"/>
        </w:rPr>
        <w:t>;</w:t>
      </w:r>
      <w:r w:rsidRPr="00824BC0">
        <w:rPr>
          <w:bCs/>
          <w:szCs w:val="24"/>
        </w:rPr>
        <w:t xml:space="preserve"> facilitate communication</w:t>
      </w:r>
      <w:r w:rsidR="00632670" w:rsidRPr="00824BC0">
        <w:rPr>
          <w:bCs/>
          <w:szCs w:val="24"/>
        </w:rPr>
        <w:t>;</w:t>
      </w:r>
      <w:r w:rsidRPr="00824BC0">
        <w:rPr>
          <w:bCs/>
          <w:szCs w:val="24"/>
        </w:rPr>
        <w:t xml:space="preserve"> foster collaboration</w:t>
      </w:r>
      <w:r w:rsidR="00632670" w:rsidRPr="00824BC0">
        <w:rPr>
          <w:bCs/>
          <w:szCs w:val="24"/>
        </w:rPr>
        <w:t>;</w:t>
      </w:r>
      <w:r w:rsidRPr="00824BC0">
        <w:rPr>
          <w:bCs/>
          <w:szCs w:val="24"/>
        </w:rPr>
        <w:t xml:space="preserve"> and assess students.  The equipment can be used to support traditional face-to-face instruction, as well as blended and online educational environments.</w:t>
      </w:r>
    </w:p>
    <w:p w14:paraId="44A4DAB2" w14:textId="77777777" w:rsidR="00C93787" w:rsidRPr="00824BC0" w:rsidRDefault="00C93787" w:rsidP="00C93787">
      <w:pPr>
        <w:spacing w:after="0" w:line="240" w:lineRule="auto"/>
        <w:jc w:val="both"/>
        <w:rPr>
          <w:rFonts w:ascii="Times New Roman" w:hAnsi="Times New Roman" w:cs="Times New Roman"/>
          <w:bCs/>
          <w:sz w:val="24"/>
          <w:szCs w:val="24"/>
        </w:rPr>
      </w:pPr>
    </w:p>
    <w:p w14:paraId="0366A57A" w14:textId="03FF41A9" w:rsidR="00C93787" w:rsidRPr="00824BC0" w:rsidRDefault="00C93787" w:rsidP="00C93787">
      <w:pPr>
        <w:pStyle w:val="ListParagraph"/>
        <w:numPr>
          <w:ilvl w:val="1"/>
          <w:numId w:val="5"/>
        </w:numPr>
        <w:ind w:left="0" w:firstLine="0"/>
        <w:jc w:val="both"/>
        <w:rPr>
          <w:bCs/>
          <w:szCs w:val="24"/>
        </w:rPr>
      </w:pPr>
      <w:r w:rsidRPr="00824BC0">
        <w:rPr>
          <w:bCs/>
          <w:szCs w:val="24"/>
        </w:rPr>
        <w:t>BASC was deemed eligible for the financial assistance and the project proposal was approved by the CHED thru CEB Resolution No. 294-2021 dated May 26, 2021. The Memorandum of Agreement (MOA) between CHED and BASC was signed on May 27, 2021.  The grant amounting to ₱25,000,000.00 was received by the College via fund transfer on June 30, 2021.  As of this writing, the project is on the procurement phase.</w:t>
      </w:r>
    </w:p>
    <w:p w14:paraId="13E6DF63" w14:textId="77777777" w:rsidR="00C93787" w:rsidRPr="00824BC0" w:rsidRDefault="00C93787" w:rsidP="00C93787">
      <w:pPr>
        <w:spacing w:after="0" w:line="240" w:lineRule="auto"/>
        <w:ind w:firstLine="720"/>
        <w:jc w:val="both"/>
        <w:rPr>
          <w:rFonts w:ascii="Times New Roman" w:hAnsi="Times New Roman" w:cs="Times New Roman"/>
          <w:bCs/>
          <w:sz w:val="24"/>
          <w:szCs w:val="24"/>
        </w:rPr>
      </w:pPr>
    </w:p>
    <w:p w14:paraId="1B1496EF" w14:textId="77777777" w:rsidR="00C93787" w:rsidRPr="00824BC0" w:rsidRDefault="00C93787" w:rsidP="00C93787">
      <w:pPr>
        <w:pStyle w:val="ListParagraph"/>
        <w:numPr>
          <w:ilvl w:val="1"/>
          <w:numId w:val="5"/>
        </w:numPr>
        <w:ind w:left="0" w:firstLine="0"/>
        <w:jc w:val="both"/>
        <w:rPr>
          <w:bCs/>
          <w:szCs w:val="24"/>
        </w:rPr>
      </w:pPr>
      <w:r w:rsidRPr="00824BC0">
        <w:rPr>
          <w:bCs/>
          <w:szCs w:val="24"/>
        </w:rPr>
        <w:t>A scrutiny of the MOA for the project revealed the following relevant terms and conditions:</w:t>
      </w:r>
    </w:p>
    <w:p w14:paraId="7FEF0A9D" w14:textId="77777777" w:rsidR="00C93787" w:rsidRPr="00824BC0" w:rsidRDefault="00C93787" w:rsidP="00C93787">
      <w:pPr>
        <w:spacing w:after="0" w:line="240" w:lineRule="auto"/>
        <w:jc w:val="both"/>
        <w:rPr>
          <w:rFonts w:ascii="Times New Roman" w:hAnsi="Times New Roman" w:cs="Times New Roman"/>
          <w:bCs/>
          <w:sz w:val="24"/>
          <w:szCs w:val="24"/>
        </w:rPr>
      </w:pPr>
    </w:p>
    <w:p w14:paraId="1077274B" w14:textId="6CE302DA" w:rsidR="00C93787" w:rsidRPr="00824BC0" w:rsidRDefault="00C93787" w:rsidP="00FB4E63">
      <w:pPr>
        <w:spacing w:after="0" w:line="240" w:lineRule="auto"/>
        <w:ind w:right="567" w:firstLine="720"/>
        <w:jc w:val="both"/>
        <w:rPr>
          <w:rFonts w:ascii="Times New Roman" w:hAnsi="Times New Roman" w:cs="Times New Roman"/>
          <w:b/>
          <w:i/>
          <w:iCs/>
          <w:sz w:val="24"/>
          <w:szCs w:val="24"/>
        </w:rPr>
      </w:pPr>
      <w:r w:rsidRPr="00824BC0">
        <w:rPr>
          <w:rFonts w:ascii="Times New Roman" w:hAnsi="Times New Roman" w:cs="Times New Roman"/>
          <w:b/>
          <w:i/>
          <w:iCs/>
          <w:sz w:val="24"/>
          <w:szCs w:val="24"/>
        </w:rPr>
        <w:t>A. ROLES AND RESPONSIBILITIES</w:t>
      </w:r>
    </w:p>
    <w:p w14:paraId="462B1E45" w14:textId="77777777" w:rsidR="00C93787" w:rsidRPr="00824BC0" w:rsidRDefault="00C93787" w:rsidP="00C93787">
      <w:pPr>
        <w:spacing w:after="0" w:line="240" w:lineRule="auto"/>
        <w:ind w:leftChars="720" w:left="1584" w:right="567"/>
        <w:jc w:val="both"/>
        <w:rPr>
          <w:rFonts w:ascii="Times New Roman" w:hAnsi="Times New Roman" w:cs="Times New Roman"/>
          <w:bCs/>
          <w:sz w:val="24"/>
          <w:szCs w:val="24"/>
        </w:rPr>
      </w:pPr>
    </w:p>
    <w:p w14:paraId="7F35157A" w14:textId="77777777" w:rsidR="00C93787" w:rsidRPr="00824BC0" w:rsidRDefault="00C93787" w:rsidP="00FB4E63">
      <w:pPr>
        <w:spacing w:after="0" w:line="240" w:lineRule="auto"/>
        <w:ind w:right="567" w:firstLine="720"/>
        <w:jc w:val="both"/>
        <w:rPr>
          <w:rFonts w:ascii="Times New Roman" w:hAnsi="Times New Roman" w:cs="Times New Roman"/>
          <w:bCs/>
          <w:i/>
          <w:iCs/>
          <w:sz w:val="24"/>
          <w:szCs w:val="24"/>
        </w:rPr>
      </w:pPr>
      <w:r w:rsidRPr="00824BC0">
        <w:rPr>
          <w:rFonts w:ascii="Times New Roman" w:hAnsi="Times New Roman" w:cs="Times New Roman"/>
          <w:bCs/>
          <w:i/>
          <w:iCs/>
          <w:sz w:val="24"/>
          <w:szCs w:val="24"/>
        </w:rPr>
        <w:t>2.  The SUC shall:</w:t>
      </w:r>
    </w:p>
    <w:p w14:paraId="3285F669" w14:textId="77777777" w:rsidR="00C93787" w:rsidRPr="00824BC0" w:rsidRDefault="00C93787" w:rsidP="00C93787">
      <w:pPr>
        <w:spacing w:after="0" w:line="240" w:lineRule="auto"/>
        <w:ind w:leftChars="720" w:left="1584" w:right="567" w:firstLine="720"/>
        <w:jc w:val="both"/>
        <w:rPr>
          <w:rFonts w:ascii="Times New Roman" w:hAnsi="Times New Roman" w:cs="Times New Roman"/>
          <w:bCs/>
          <w:i/>
          <w:iCs/>
          <w:sz w:val="24"/>
          <w:szCs w:val="24"/>
        </w:rPr>
      </w:pPr>
    </w:p>
    <w:p w14:paraId="584AF52E" w14:textId="77777777" w:rsidR="00C93787" w:rsidRPr="00824BC0" w:rsidRDefault="00C93787" w:rsidP="00FB4E63">
      <w:pPr>
        <w:spacing w:after="0" w:line="240" w:lineRule="auto"/>
        <w:ind w:left="270" w:right="567" w:firstLine="720"/>
        <w:jc w:val="both"/>
        <w:rPr>
          <w:rFonts w:ascii="Times New Roman" w:hAnsi="Times New Roman" w:cs="Times New Roman"/>
          <w:bCs/>
          <w:i/>
          <w:iCs/>
          <w:sz w:val="24"/>
          <w:szCs w:val="24"/>
        </w:rPr>
      </w:pPr>
      <w:r w:rsidRPr="00824BC0">
        <w:rPr>
          <w:rFonts w:ascii="Times New Roman" w:hAnsi="Times New Roman" w:cs="Times New Roman"/>
          <w:bCs/>
          <w:i/>
          <w:iCs/>
          <w:sz w:val="24"/>
          <w:szCs w:val="24"/>
        </w:rPr>
        <w:t>xxx</w:t>
      </w:r>
    </w:p>
    <w:p w14:paraId="4EACDA26" w14:textId="77777777" w:rsidR="00C93787" w:rsidRPr="00824BC0" w:rsidRDefault="00C93787" w:rsidP="00C93787">
      <w:pPr>
        <w:spacing w:after="0" w:line="240" w:lineRule="auto"/>
        <w:ind w:leftChars="720" w:left="1584" w:right="567" w:firstLine="720"/>
        <w:jc w:val="both"/>
        <w:rPr>
          <w:rFonts w:ascii="Times New Roman" w:hAnsi="Times New Roman" w:cs="Times New Roman"/>
          <w:bCs/>
          <w:i/>
          <w:sz w:val="24"/>
          <w:szCs w:val="24"/>
        </w:rPr>
      </w:pPr>
    </w:p>
    <w:p w14:paraId="5839C7FC" w14:textId="77777777" w:rsidR="00C93787" w:rsidRPr="00824BC0" w:rsidRDefault="00C93787" w:rsidP="000D6661">
      <w:pPr>
        <w:spacing w:after="0" w:line="240" w:lineRule="auto"/>
        <w:ind w:leftChars="450" w:left="990" w:right="1080"/>
        <w:jc w:val="both"/>
        <w:rPr>
          <w:rFonts w:ascii="Times New Roman" w:hAnsi="Times New Roman" w:cs="Times New Roman"/>
          <w:bCs/>
          <w:i/>
          <w:sz w:val="24"/>
          <w:szCs w:val="24"/>
        </w:rPr>
      </w:pPr>
      <w:r w:rsidRPr="00824BC0">
        <w:rPr>
          <w:rFonts w:ascii="Times New Roman" w:hAnsi="Times New Roman" w:cs="Times New Roman"/>
          <w:bCs/>
          <w:i/>
          <w:sz w:val="24"/>
          <w:szCs w:val="24"/>
        </w:rPr>
        <w:t>2.12 Submit accomplishment reports and a Terminal Report to the CHED within 60 days after the completion of the project;</w:t>
      </w:r>
    </w:p>
    <w:p w14:paraId="3BB9E2C4" w14:textId="77777777" w:rsidR="00C93787" w:rsidRPr="00824BC0" w:rsidRDefault="00C93787" w:rsidP="000D6661">
      <w:pPr>
        <w:spacing w:after="0" w:line="240" w:lineRule="auto"/>
        <w:ind w:leftChars="450" w:left="990" w:right="1080" w:firstLine="720"/>
        <w:jc w:val="both"/>
        <w:rPr>
          <w:rFonts w:ascii="Times New Roman" w:hAnsi="Times New Roman" w:cs="Times New Roman"/>
          <w:bCs/>
          <w:i/>
          <w:sz w:val="24"/>
          <w:szCs w:val="24"/>
        </w:rPr>
      </w:pPr>
    </w:p>
    <w:p w14:paraId="653D5956" w14:textId="77777777" w:rsidR="00C93787" w:rsidRPr="00824BC0" w:rsidRDefault="00C93787" w:rsidP="000D6661">
      <w:pPr>
        <w:spacing w:after="0" w:line="240" w:lineRule="auto"/>
        <w:ind w:leftChars="450" w:left="990" w:right="1080"/>
        <w:jc w:val="both"/>
        <w:rPr>
          <w:rFonts w:ascii="Times New Roman" w:hAnsi="Times New Roman" w:cs="Times New Roman"/>
          <w:bCs/>
          <w:i/>
          <w:sz w:val="24"/>
          <w:szCs w:val="24"/>
        </w:rPr>
      </w:pPr>
      <w:r w:rsidRPr="00824BC0">
        <w:rPr>
          <w:rFonts w:ascii="Times New Roman" w:hAnsi="Times New Roman" w:cs="Times New Roman"/>
          <w:bCs/>
          <w:i/>
          <w:sz w:val="24"/>
          <w:szCs w:val="24"/>
        </w:rPr>
        <w:t>2.13 Submit a liquidation report to CHED signed by the Project Leader, approved by the SUC president and certified correct by the SUC’s accountant;</w:t>
      </w:r>
    </w:p>
    <w:p w14:paraId="7D9913CD" w14:textId="77777777" w:rsidR="00C93787" w:rsidRPr="00824BC0" w:rsidRDefault="00C93787" w:rsidP="000D6661">
      <w:pPr>
        <w:spacing w:after="0" w:line="240" w:lineRule="auto"/>
        <w:ind w:leftChars="720" w:left="1584" w:right="1080" w:firstLine="720"/>
        <w:jc w:val="both"/>
        <w:rPr>
          <w:rFonts w:ascii="Times New Roman" w:hAnsi="Times New Roman" w:cs="Times New Roman"/>
          <w:bCs/>
          <w:i/>
          <w:sz w:val="24"/>
          <w:szCs w:val="24"/>
        </w:rPr>
      </w:pPr>
    </w:p>
    <w:p w14:paraId="74999E53" w14:textId="77777777" w:rsidR="00C93787" w:rsidRPr="00824BC0" w:rsidRDefault="00C93787" w:rsidP="000D6661">
      <w:pPr>
        <w:spacing w:after="0" w:line="240" w:lineRule="auto"/>
        <w:ind w:left="270" w:right="1080" w:firstLine="720"/>
        <w:jc w:val="both"/>
        <w:rPr>
          <w:rFonts w:ascii="Times New Roman" w:hAnsi="Times New Roman" w:cs="Times New Roman"/>
          <w:bCs/>
          <w:i/>
          <w:sz w:val="24"/>
          <w:szCs w:val="24"/>
        </w:rPr>
      </w:pPr>
      <w:r w:rsidRPr="00824BC0">
        <w:rPr>
          <w:rFonts w:ascii="Times New Roman" w:hAnsi="Times New Roman" w:cs="Times New Roman"/>
          <w:bCs/>
          <w:i/>
          <w:sz w:val="24"/>
          <w:szCs w:val="24"/>
        </w:rPr>
        <w:t>xxx</w:t>
      </w:r>
    </w:p>
    <w:p w14:paraId="445BC3EC" w14:textId="77777777" w:rsidR="00C93787" w:rsidRPr="00824BC0" w:rsidRDefault="00C93787" w:rsidP="000D6661">
      <w:pPr>
        <w:spacing w:after="0" w:line="240" w:lineRule="auto"/>
        <w:ind w:leftChars="720" w:left="1584" w:right="1080" w:firstLine="720"/>
        <w:jc w:val="both"/>
        <w:rPr>
          <w:rFonts w:ascii="Times New Roman" w:hAnsi="Times New Roman" w:cs="Times New Roman"/>
          <w:bCs/>
          <w:i/>
          <w:sz w:val="24"/>
          <w:szCs w:val="24"/>
        </w:rPr>
      </w:pPr>
    </w:p>
    <w:p w14:paraId="0F78129F" w14:textId="4695CD46" w:rsidR="00C93787" w:rsidRPr="00824BC0" w:rsidRDefault="00C93787" w:rsidP="000D6661">
      <w:pPr>
        <w:spacing w:after="0" w:line="240" w:lineRule="auto"/>
        <w:ind w:leftChars="450" w:left="990" w:right="1080"/>
        <w:jc w:val="both"/>
        <w:rPr>
          <w:rFonts w:ascii="Times New Roman" w:hAnsi="Times New Roman" w:cs="Times New Roman"/>
          <w:bCs/>
          <w:i/>
          <w:sz w:val="24"/>
          <w:szCs w:val="24"/>
        </w:rPr>
      </w:pPr>
      <w:r w:rsidRPr="00824BC0">
        <w:rPr>
          <w:rFonts w:ascii="Times New Roman" w:hAnsi="Times New Roman" w:cs="Times New Roman"/>
          <w:bCs/>
          <w:i/>
          <w:sz w:val="24"/>
          <w:szCs w:val="24"/>
        </w:rPr>
        <w:t xml:space="preserve">2.16 </w:t>
      </w:r>
      <w:r w:rsidR="00742B87" w:rsidRPr="00824BC0">
        <w:rPr>
          <w:rFonts w:ascii="Times New Roman" w:hAnsi="Times New Roman" w:cs="Times New Roman"/>
          <w:bCs/>
          <w:i/>
          <w:sz w:val="24"/>
          <w:szCs w:val="24"/>
        </w:rPr>
        <w:t xml:space="preserve">  </w:t>
      </w:r>
      <w:r w:rsidRPr="00824BC0">
        <w:rPr>
          <w:rFonts w:ascii="Times New Roman" w:hAnsi="Times New Roman" w:cs="Times New Roman"/>
          <w:bCs/>
          <w:i/>
          <w:sz w:val="24"/>
          <w:szCs w:val="24"/>
        </w:rPr>
        <w:t>Submit a Fund Utilization Report and Report of Disbursement to CHED, certified correct by the SUC’s accountant, approved by the head of the institution and duly received by their institution’s resident Commission on Audit (COA) office within one calendar year upon receipt of the funds.  The submission may be extended by six months upon submission of a letter request 60 days before the expiration of this agreement and subject to the approval of the Commission;</w:t>
      </w:r>
    </w:p>
    <w:p w14:paraId="0C6F2818" w14:textId="77777777" w:rsidR="00C93787" w:rsidRPr="00824BC0" w:rsidRDefault="00C93787" w:rsidP="000D6661">
      <w:pPr>
        <w:spacing w:after="0" w:line="240" w:lineRule="auto"/>
        <w:ind w:leftChars="450" w:left="990" w:right="1080"/>
        <w:jc w:val="both"/>
        <w:rPr>
          <w:rFonts w:ascii="Times New Roman" w:hAnsi="Times New Roman" w:cs="Times New Roman"/>
          <w:bCs/>
          <w:i/>
          <w:sz w:val="24"/>
          <w:szCs w:val="24"/>
        </w:rPr>
      </w:pPr>
    </w:p>
    <w:p w14:paraId="1F61DB64" w14:textId="772E2856" w:rsidR="00C93787" w:rsidRPr="00824BC0" w:rsidRDefault="00C93787" w:rsidP="000D6661">
      <w:pPr>
        <w:spacing w:after="0" w:line="240" w:lineRule="auto"/>
        <w:ind w:leftChars="450" w:left="990" w:right="1080"/>
        <w:jc w:val="both"/>
        <w:rPr>
          <w:rFonts w:ascii="Times New Roman" w:hAnsi="Times New Roman" w:cs="Times New Roman"/>
          <w:bCs/>
          <w:i/>
          <w:sz w:val="24"/>
          <w:szCs w:val="24"/>
        </w:rPr>
      </w:pPr>
      <w:r w:rsidRPr="00824BC0">
        <w:rPr>
          <w:rFonts w:ascii="Times New Roman" w:hAnsi="Times New Roman" w:cs="Times New Roman"/>
          <w:bCs/>
          <w:i/>
          <w:sz w:val="24"/>
          <w:szCs w:val="24"/>
        </w:rPr>
        <w:t>2.17 Return to CHED all unused balances of the project funds, including all income and interest earned or generated from the same, upon completion of the project within 45 but not more than 60 calendar days, pursuant to Executive Order (EO) No. 338, series of 1996 also known as the “Directing the Deposit of Cash Balances to the National Treasury”;</w:t>
      </w:r>
    </w:p>
    <w:p w14:paraId="082A476D" w14:textId="77777777" w:rsidR="00C93787" w:rsidRPr="00824BC0" w:rsidRDefault="00C93787" w:rsidP="000D6661">
      <w:pPr>
        <w:spacing w:after="0" w:line="240" w:lineRule="auto"/>
        <w:ind w:leftChars="450" w:left="990" w:right="1080"/>
        <w:jc w:val="both"/>
        <w:rPr>
          <w:rFonts w:ascii="Times New Roman" w:hAnsi="Times New Roman" w:cs="Times New Roman"/>
          <w:bCs/>
          <w:i/>
          <w:sz w:val="24"/>
          <w:szCs w:val="24"/>
        </w:rPr>
      </w:pPr>
    </w:p>
    <w:p w14:paraId="5902C7A2" w14:textId="103466E5" w:rsidR="00C93787" w:rsidRPr="00824BC0" w:rsidRDefault="00C93787" w:rsidP="000D6661">
      <w:pPr>
        <w:spacing w:after="0" w:line="240" w:lineRule="auto"/>
        <w:ind w:leftChars="450" w:left="990" w:right="1080"/>
        <w:jc w:val="both"/>
        <w:rPr>
          <w:rFonts w:ascii="Times New Roman" w:hAnsi="Times New Roman" w:cs="Times New Roman"/>
          <w:bCs/>
          <w:i/>
          <w:sz w:val="24"/>
          <w:szCs w:val="24"/>
        </w:rPr>
      </w:pPr>
      <w:r w:rsidRPr="00824BC0">
        <w:rPr>
          <w:rFonts w:ascii="Times New Roman" w:hAnsi="Times New Roman" w:cs="Times New Roman"/>
          <w:bCs/>
          <w:i/>
          <w:sz w:val="24"/>
          <w:szCs w:val="24"/>
        </w:rPr>
        <w:t xml:space="preserve">2.18 </w:t>
      </w:r>
      <w:r w:rsidR="00742B87" w:rsidRPr="00824BC0">
        <w:rPr>
          <w:rFonts w:ascii="Times New Roman" w:hAnsi="Times New Roman" w:cs="Times New Roman"/>
          <w:bCs/>
          <w:i/>
          <w:sz w:val="24"/>
          <w:szCs w:val="24"/>
        </w:rPr>
        <w:t xml:space="preserve"> </w:t>
      </w:r>
      <w:r w:rsidRPr="00824BC0">
        <w:rPr>
          <w:rFonts w:ascii="Times New Roman" w:hAnsi="Times New Roman" w:cs="Times New Roman"/>
          <w:bCs/>
          <w:i/>
          <w:sz w:val="24"/>
          <w:szCs w:val="24"/>
        </w:rPr>
        <w:t>Comply with the provisions of COA Circular No. 94-013 or the “Rules and Regulations in the Grant, Utilization and Liquidation of Funds Transferred to Implementing Agencies” and other government laws, rules and regulations directly and indirectly pertaining to projects funded either fully or partly by government agencies.</w:t>
      </w:r>
    </w:p>
    <w:p w14:paraId="7D26C4C4" w14:textId="77777777" w:rsidR="00D4597D" w:rsidRPr="00824BC0" w:rsidRDefault="00D4597D" w:rsidP="00D4597D">
      <w:pPr>
        <w:pStyle w:val="ListParagraph"/>
        <w:ind w:left="0"/>
        <w:jc w:val="both"/>
        <w:rPr>
          <w:bCs/>
          <w:szCs w:val="24"/>
        </w:rPr>
      </w:pPr>
    </w:p>
    <w:p w14:paraId="768B6FF4" w14:textId="3070D3D0" w:rsidR="00C93787" w:rsidRPr="00824BC0" w:rsidRDefault="00C93787" w:rsidP="00C93787">
      <w:pPr>
        <w:pStyle w:val="ListParagraph"/>
        <w:numPr>
          <w:ilvl w:val="1"/>
          <w:numId w:val="5"/>
        </w:numPr>
        <w:ind w:left="0" w:firstLine="0"/>
        <w:jc w:val="both"/>
        <w:rPr>
          <w:bCs/>
          <w:szCs w:val="24"/>
        </w:rPr>
      </w:pPr>
      <w:r w:rsidRPr="00824BC0">
        <w:rPr>
          <w:bCs/>
          <w:szCs w:val="24"/>
        </w:rPr>
        <w:t>As the terms and conditions of the MOA required the liquidation of the fund</w:t>
      </w:r>
      <w:r w:rsidR="00736E5E" w:rsidRPr="00824BC0">
        <w:rPr>
          <w:bCs/>
          <w:szCs w:val="24"/>
        </w:rPr>
        <w:t xml:space="preserve"> transfers </w:t>
      </w:r>
      <w:r w:rsidRPr="00824BC0">
        <w:rPr>
          <w:bCs/>
          <w:szCs w:val="24"/>
        </w:rPr>
        <w:t xml:space="preserve">with </w:t>
      </w:r>
      <w:r w:rsidR="006F0B99" w:rsidRPr="00824BC0">
        <w:rPr>
          <w:bCs/>
          <w:szCs w:val="24"/>
        </w:rPr>
        <w:t xml:space="preserve">the </w:t>
      </w:r>
      <w:r w:rsidRPr="00824BC0">
        <w:rPr>
          <w:bCs/>
          <w:szCs w:val="24"/>
        </w:rPr>
        <w:t>CHED upon completion of the project, funds amounting to ₱25,000,000.00 w</w:t>
      </w:r>
      <w:r w:rsidR="00736E5E" w:rsidRPr="00824BC0">
        <w:rPr>
          <w:bCs/>
          <w:szCs w:val="24"/>
        </w:rPr>
        <w:t>ere</w:t>
      </w:r>
      <w:r w:rsidRPr="00824BC0">
        <w:rPr>
          <w:bCs/>
          <w:szCs w:val="24"/>
        </w:rPr>
        <w:t xml:space="preserve"> recognized in the books of accounts under </w:t>
      </w:r>
      <w:r w:rsidR="006F0B99" w:rsidRPr="00824BC0">
        <w:rPr>
          <w:bCs/>
          <w:szCs w:val="24"/>
        </w:rPr>
        <w:t xml:space="preserve">the </w:t>
      </w:r>
      <w:r w:rsidRPr="00824BC0">
        <w:rPr>
          <w:bCs/>
          <w:szCs w:val="24"/>
        </w:rPr>
        <w:t>Special Trust Fund as a credit to Due to NGAs.</w:t>
      </w:r>
    </w:p>
    <w:p w14:paraId="5E52DC20" w14:textId="77777777" w:rsidR="00C93787" w:rsidRPr="00824BC0" w:rsidRDefault="00C93787" w:rsidP="00C93787">
      <w:pPr>
        <w:spacing w:after="0" w:line="240" w:lineRule="auto"/>
        <w:ind w:firstLine="720"/>
        <w:jc w:val="both"/>
        <w:rPr>
          <w:rFonts w:ascii="Times New Roman" w:hAnsi="Times New Roman" w:cs="Times New Roman"/>
          <w:bCs/>
          <w:sz w:val="24"/>
          <w:szCs w:val="24"/>
        </w:rPr>
      </w:pPr>
    </w:p>
    <w:p w14:paraId="2BD39476" w14:textId="0ED688D5" w:rsidR="00C93787" w:rsidRPr="00824BC0" w:rsidRDefault="00C93787" w:rsidP="00C93787">
      <w:pPr>
        <w:pStyle w:val="ListParagraph"/>
        <w:numPr>
          <w:ilvl w:val="1"/>
          <w:numId w:val="5"/>
        </w:numPr>
        <w:ind w:left="0" w:firstLine="0"/>
        <w:jc w:val="both"/>
        <w:rPr>
          <w:bCs/>
          <w:szCs w:val="24"/>
        </w:rPr>
      </w:pPr>
      <w:r w:rsidRPr="00824BC0">
        <w:rPr>
          <w:bCs/>
          <w:szCs w:val="24"/>
        </w:rPr>
        <w:t xml:space="preserve">On December 6, 2021, CHED issued a Memorandum from the Office of the Executive Director (MO) which clarified the treatment of the funds transferred by </w:t>
      </w:r>
      <w:r w:rsidR="006F0B99" w:rsidRPr="00824BC0">
        <w:rPr>
          <w:bCs/>
          <w:szCs w:val="24"/>
        </w:rPr>
        <w:t>the latter</w:t>
      </w:r>
      <w:r w:rsidRPr="00824BC0">
        <w:rPr>
          <w:bCs/>
          <w:szCs w:val="24"/>
        </w:rPr>
        <w:t xml:space="preserve"> to the 89 SUC beneficiaries under the Smart Campus Development Program.  According to the MO, the CHED, through CEB Resolution No. 60-2021 dated November 16, 2021, sought for reconsideration from the Department of Budget and Management (DBM) on the </w:t>
      </w:r>
      <w:r w:rsidR="006F0B99" w:rsidRPr="00824BC0">
        <w:rPr>
          <w:bCs/>
          <w:szCs w:val="24"/>
        </w:rPr>
        <w:t xml:space="preserve">accounting </w:t>
      </w:r>
      <w:r w:rsidRPr="00824BC0">
        <w:rPr>
          <w:bCs/>
          <w:szCs w:val="24"/>
        </w:rPr>
        <w:t>treatment of the funds.  Based on the response letter of the DBM dated December 1, 2021 and received by the CHED on December 6, 2021, the DBM considered the CHED’s decision to reclassify and treat the funds transferred to the SUCs as, “fund transfer of no condition”,</w:t>
      </w:r>
      <w:r w:rsidRPr="00824BC0">
        <w:rPr>
          <w:bCs/>
          <w:i/>
          <w:szCs w:val="24"/>
        </w:rPr>
        <w:t xml:space="preserve"> </w:t>
      </w:r>
      <w:r w:rsidRPr="00824BC0">
        <w:rPr>
          <w:bCs/>
          <w:szCs w:val="24"/>
        </w:rPr>
        <w:t>adopting condition (b) of Section 63.d of Chapter 6 of the Government Accounting Manual (GAM</w:t>
      </w:r>
      <w:r w:rsidR="00742B87" w:rsidRPr="00824BC0">
        <w:rPr>
          <w:bCs/>
          <w:szCs w:val="24"/>
        </w:rPr>
        <w:t>)</w:t>
      </w:r>
      <w:r w:rsidRPr="00824BC0">
        <w:rPr>
          <w:bCs/>
          <w:szCs w:val="24"/>
        </w:rPr>
        <w:t>, stated below:</w:t>
      </w:r>
    </w:p>
    <w:p w14:paraId="6EF34EBA" w14:textId="77777777" w:rsidR="00C93787" w:rsidRPr="00824BC0" w:rsidRDefault="00C93787" w:rsidP="00C93787">
      <w:pPr>
        <w:spacing w:after="0" w:line="240" w:lineRule="auto"/>
        <w:ind w:firstLine="720"/>
        <w:jc w:val="both"/>
        <w:rPr>
          <w:rFonts w:ascii="Times New Roman" w:hAnsi="Times New Roman" w:cs="Times New Roman"/>
          <w:bCs/>
          <w:sz w:val="24"/>
          <w:szCs w:val="24"/>
        </w:rPr>
      </w:pPr>
    </w:p>
    <w:p w14:paraId="072029F0" w14:textId="040EBCD1" w:rsidR="00C93787" w:rsidRPr="00824BC0" w:rsidRDefault="00C93787" w:rsidP="000D6661">
      <w:pPr>
        <w:spacing w:after="0" w:line="240" w:lineRule="auto"/>
        <w:ind w:leftChars="450" w:left="990" w:right="1080"/>
        <w:jc w:val="both"/>
        <w:rPr>
          <w:rFonts w:ascii="Times New Roman" w:hAnsi="Times New Roman" w:cs="Times New Roman"/>
          <w:bCs/>
          <w:i/>
          <w:sz w:val="24"/>
          <w:szCs w:val="24"/>
        </w:rPr>
      </w:pPr>
      <w:r w:rsidRPr="00824BC0">
        <w:rPr>
          <w:rFonts w:ascii="Times New Roman" w:hAnsi="Times New Roman" w:cs="Times New Roman"/>
          <w:bCs/>
          <w:i/>
          <w:sz w:val="24"/>
          <w:szCs w:val="24"/>
        </w:rPr>
        <w:t>b)</w:t>
      </w:r>
      <w:r w:rsidR="000D6661" w:rsidRPr="00824BC0">
        <w:rPr>
          <w:rFonts w:ascii="Times New Roman" w:hAnsi="Times New Roman" w:cs="Times New Roman"/>
          <w:bCs/>
          <w:i/>
          <w:sz w:val="24"/>
          <w:szCs w:val="24"/>
        </w:rPr>
        <w:t xml:space="preserve"> </w:t>
      </w:r>
      <w:r w:rsidRPr="00824BC0">
        <w:rPr>
          <w:rFonts w:ascii="Times New Roman" w:hAnsi="Times New Roman" w:cs="Times New Roman"/>
          <w:bCs/>
          <w:i/>
          <w:sz w:val="24"/>
          <w:szCs w:val="24"/>
        </w:rPr>
        <w:t xml:space="preserve"> If the Memorandum of Agreement (MOA) provides stipulations of no condition, the Implementing Agency (IA) shall recognize the receipt of the fund as asset at its fair value with a corresponding revenue, while the Source Agency shall recognize the expense corresponding to the fund transfer.</w:t>
      </w:r>
    </w:p>
    <w:p w14:paraId="77F5931B" w14:textId="77777777" w:rsidR="00C93787" w:rsidRPr="00824BC0" w:rsidRDefault="00C93787" w:rsidP="00C93787">
      <w:pPr>
        <w:spacing w:after="0" w:line="240" w:lineRule="auto"/>
        <w:jc w:val="both"/>
        <w:rPr>
          <w:rFonts w:ascii="Times New Roman" w:hAnsi="Times New Roman" w:cs="Times New Roman"/>
          <w:b/>
          <w:bCs/>
          <w:sz w:val="24"/>
          <w:szCs w:val="24"/>
        </w:rPr>
      </w:pPr>
    </w:p>
    <w:p w14:paraId="2319787C" w14:textId="415CE1E7" w:rsidR="00C93787" w:rsidRPr="00824BC0" w:rsidRDefault="00C93787" w:rsidP="00C93787">
      <w:pPr>
        <w:pStyle w:val="ListParagraph"/>
        <w:numPr>
          <w:ilvl w:val="1"/>
          <w:numId w:val="5"/>
        </w:numPr>
        <w:ind w:left="0" w:firstLine="0"/>
        <w:jc w:val="both"/>
        <w:rPr>
          <w:b/>
          <w:bCs/>
          <w:szCs w:val="24"/>
        </w:rPr>
      </w:pPr>
      <w:r w:rsidRPr="00824BC0">
        <w:rPr>
          <w:bCs/>
          <w:szCs w:val="24"/>
        </w:rPr>
        <w:t xml:space="preserve">The DBM added that, </w:t>
      </w:r>
      <w:r w:rsidRPr="00824BC0">
        <w:rPr>
          <w:bCs/>
          <w:i/>
          <w:szCs w:val="24"/>
        </w:rPr>
        <w:t>the transferred funds may continue to be used for the purpose specified, as stipulated in the MOA and the Supplemental MOA</w:t>
      </w:r>
      <w:r w:rsidR="006F0B99" w:rsidRPr="00824BC0">
        <w:rPr>
          <w:bCs/>
          <w:i/>
          <w:szCs w:val="24"/>
        </w:rPr>
        <w:t xml:space="preserve">. </w:t>
      </w:r>
    </w:p>
    <w:p w14:paraId="232FE253" w14:textId="77777777" w:rsidR="00C93787" w:rsidRPr="00824BC0" w:rsidRDefault="00C93787" w:rsidP="00C93787">
      <w:pPr>
        <w:spacing w:after="0" w:line="240" w:lineRule="auto"/>
        <w:jc w:val="both"/>
        <w:rPr>
          <w:rFonts w:ascii="Times New Roman" w:hAnsi="Times New Roman" w:cs="Times New Roman"/>
          <w:b/>
          <w:bCs/>
          <w:sz w:val="24"/>
          <w:szCs w:val="24"/>
        </w:rPr>
      </w:pPr>
    </w:p>
    <w:p w14:paraId="7F0A433F" w14:textId="6FF083D5" w:rsidR="00C93787" w:rsidRPr="00824BC0" w:rsidRDefault="00C93787" w:rsidP="00C93787">
      <w:pPr>
        <w:pStyle w:val="ListParagraph"/>
        <w:numPr>
          <w:ilvl w:val="1"/>
          <w:numId w:val="5"/>
        </w:numPr>
        <w:ind w:left="0" w:firstLine="0"/>
        <w:jc w:val="both"/>
        <w:rPr>
          <w:bCs/>
          <w:szCs w:val="24"/>
        </w:rPr>
      </w:pPr>
      <w:r w:rsidRPr="00824BC0">
        <w:rPr>
          <w:bCs/>
          <w:szCs w:val="24"/>
        </w:rPr>
        <w:t>The MO further expounded that</w:t>
      </w:r>
      <w:r w:rsidR="00382419" w:rsidRPr="00824BC0">
        <w:rPr>
          <w:bCs/>
          <w:szCs w:val="24"/>
        </w:rPr>
        <w:t xml:space="preserve"> </w:t>
      </w:r>
      <w:r w:rsidRPr="00824BC0">
        <w:rPr>
          <w:bCs/>
          <w:szCs w:val="24"/>
        </w:rPr>
        <w:t xml:space="preserve">since the funds transferred to the SUCs </w:t>
      </w:r>
      <w:r w:rsidR="00382419" w:rsidRPr="00824BC0">
        <w:rPr>
          <w:bCs/>
          <w:szCs w:val="24"/>
        </w:rPr>
        <w:t>were</w:t>
      </w:r>
      <w:r w:rsidRPr="00824BC0">
        <w:rPr>
          <w:bCs/>
          <w:szCs w:val="24"/>
        </w:rPr>
        <w:t xml:space="preserve"> recognized in the books of accounts of the CHED as donations, the SUCs are no longer required to submit liquidation reports. </w:t>
      </w:r>
      <w:r w:rsidR="00382419" w:rsidRPr="00824BC0">
        <w:rPr>
          <w:bCs/>
          <w:szCs w:val="24"/>
        </w:rPr>
        <w:t>As such</w:t>
      </w:r>
      <w:r w:rsidRPr="00824BC0">
        <w:rPr>
          <w:bCs/>
          <w:szCs w:val="24"/>
        </w:rPr>
        <w:t>, the SUC should</w:t>
      </w:r>
      <w:r w:rsidR="00382419" w:rsidRPr="00824BC0">
        <w:rPr>
          <w:bCs/>
          <w:szCs w:val="24"/>
        </w:rPr>
        <w:t xml:space="preserve"> have</w:t>
      </w:r>
      <w:r w:rsidRPr="00824BC0">
        <w:rPr>
          <w:bCs/>
          <w:szCs w:val="24"/>
        </w:rPr>
        <w:t xml:space="preserve"> recognize</w:t>
      </w:r>
      <w:r w:rsidR="00382419" w:rsidRPr="00824BC0">
        <w:rPr>
          <w:bCs/>
          <w:szCs w:val="24"/>
        </w:rPr>
        <w:t>d</w:t>
      </w:r>
      <w:r w:rsidRPr="00824BC0">
        <w:rPr>
          <w:bCs/>
          <w:szCs w:val="24"/>
        </w:rPr>
        <w:t xml:space="preserve"> the receipt of </w:t>
      </w:r>
      <w:r w:rsidR="00382419" w:rsidRPr="00824BC0">
        <w:rPr>
          <w:bCs/>
          <w:szCs w:val="24"/>
        </w:rPr>
        <w:t xml:space="preserve">the </w:t>
      </w:r>
      <w:r w:rsidRPr="00824BC0">
        <w:rPr>
          <w:bCs/>
          <w:szCs w:val="24"/>
        </w:rPr>
        <w:t>funds as a debit to Cash and a corresponding credit to Income from Grants and Donations.</w:t>
      </w:r>
    </w:p>
    <w:p w14:paraId="47C2B176" w14:textId="77777777" w:rsidR="00C93787" w:rsidRPr="00824BC0" w:rsidRDefault="00C93787" w:rsidP="00C93787">
      <w:pPr>
        <w:spacing w:after="0" w:line="240" w:lineRule="auto"/>
        <w:jc w:val="both"/>
        <w:rPr>
          <w:rFonts w:ascii="Times New Roman" w:hAnsi="Times New Roman" w:cs="Times New Roman"/>
          <w:b/>
          <w:bCs/>
          <w:sz w:val="24"/>
          <w:szCs w:val="24"/>
        </w:rPr>
      </w:pPr>
      <w:r w:rsidRPr="00824BC0">
        <w:rPr>
          <w:rFonts w:ascii="Times New Roman" w:hAnsi="Times New Roman" w:cs="Times New Roman"/>
          <w:b/>
          <w:bCs/>
          <w:sz w:val="24"/>
          <w:szCs w:val="24"/>
        </w:rPr>
        <w:tab/>
      </w:r>
    </w:p>
    <w:p w14:paraId="131ED329" w14:textId="4E1437E8" w:rsidR="00C93787" w:rsidRPr="00824BC0" w:rsidRDefault="00C93787" w:rsidP="00C93787">
      <w:pPr>
        <w:pStyle w:val="ListParagraph"/>
        <w:numPr>
          <w:ilvl w:val="1"/>
          <w:numId w:val="5"/>
        </w:numPr>
        <w:ind w:left="0" w:firstLine="0"/>
        <w:jc w:val="both"/>
        <w:rPr>
          <w:bCs/>
          <w:szCs w:val="24"/>
        </w:rPr>
      </w:pPr>
      <w:r w:rsidRPr="00824BC0">
        <w:rPr>
          <w:bCs/>
          <w:szCs w:val="24"/>
        </w:rPr>
        <w:t xml:space="preserve">Based on the foregoing, BASC and CHED executed a Supplemental MOA (SMOA) with the intent of clarifying all issues related to the nature and utilization of the Smart </w:t>
      </w:r>
      <w:r w:rsidR="00FF125F" w:rsidRPr="00824BC0">
        <w:rPr>
          <w:bCs/>
          <w:szCs w:val="24"/>
        </w:rPr>
        <w:t xml:space="preserve">Campus </w:t>
      </w:r>
      <w:r w:rsidRPr="00824BC0">
        <w:rPr>
          <w:bCs/>
          <w:szCs w:val="24"/>
        </w:rPr>
        <w:t xml:space="preserve">Development </w:t>
      </w:r>
      <w:r w:rsidR="00FF125F" w:rsidRPr="00824BC0">
        <w:rPr>
          <w:bCs/>
          <w:szCs w:val="24"/>
        </w:rPr>
        <w:t xml:space="preserve">Program </w:t>
      </w:r>
      <w:r w:rsidRPr="00824BC0">
        <w:rPr>
          <w:bCs/>
          <w:szCs w:val="24"/>
        </w:rPr>
        <w:t xml:space="preserve">funds in accordance with the original MOA. The SMOA has no date, but the document appeared to be notarized on December 1, 2021. Included in the provisions of the SMOA is the clarification on the nature of the funds, i.e., </w:t>
      </w:r>
      <w:r w:rsidRPr="00824BC0">
        <w:rPr>
          <w:bCs/>
          <w:i/>
          <w:szCs w:val="24"/>
        </w:rPr>
        <w:t>The Parties are in full understanding that the funds awarded, released and/or transferred by the CHED to the SUC in accordance with R.A. No. 11494 are financial grants and are funds transfers of no condition.</w:t>
      </w:r>
      <w:r w:rsidRPr="00824BC0">
        <w:rPr>
          <w:bCs/>
          <w:szCs w:val="24"/>
        </w:rPr>
        <w:t xml:space="preserve"> </w:t>
      </w:r>
      <w:r w:rsidR="00382419" w:rsidRPr="00824BC0">
        <w:rPr>
          <w:bCs/>
          <w:szCs w:val="24"/>
        </w:rPr>
        <w:t>Thus</w:t>
      </w:r>
      <w:r w:rsidRPr="00824BC0">
        <w:rPr>
          <w:bCs/>
          <w:szCs w:val="24"/>
        </w:rPr>
        <w:t xml:space="preserve">, the receipt of funds under the Smart Campus Development Program should </w:t>
      </w:r>
      <w:r w:rsidR="00656AA4">
        <w:rPr>
          <w:bCs/>
          <w:szCs w:val="24"/>
        </w:rPr>
        <w:t>have been</w:t>
      </w:r>
      <w:r w:rsidRPr="00824BC0">
        <w:rPr>
          <w:bCs/>
          <w:szCs w:val="24"/>
        </w:rPr>
        <w:t xml:space="preserve"> recognized in the books of accounts as Income from Grants and Donations as prescribed in the MO.</w:t>
      </w:r>
    </w:p>
    <w:p w14:paraId="209796D3" w14:textId="77777777" w:rsidR="00C93787" w:rsidRPr="00824BC0" w:rsidRDefault="00C93787" w:rsidP="00C93787">
      <w:pPr>
        <w:spacing w:after="0" w:line="240" w:lineRule="auto"/>
        <w:jc w:val="both"/>
        <w:rPr>
          <w:rFonts w:ascii="Times New Roman" w:hAnsi="Times New Roman" w:cs="Times New Roman"/>
          <w:bCs/>
          <w:sz w:val="24"/>
          <w:szCs w:val="24"/>
        </w:rPr>
      </w:pPr>
    </w:p>
    <w:p w14:paraId="7281E8B4" w14:textId="1D74EBD9" w:rsidR="00C93787" w:rsidRPr="00824BC0" w:rsidRDefault="00C93787" w:rsidP="00C93787">
      <w:pPr>
        <w:pStyle w:val="ListParagraph"/>
        <w:numPr>
          <w:ilvl w:val="1"/>
          <w:numId w:val="5"/>
        </w:numPr>
        <w:ind w:left="0" w:firstLine="0"/>
        <w:jc w:val="both"/>
        <w:rPr>
          <w:bCs/>
          <w:szCs w:val="24"/>
        </w:rPr>
      </w:pPr>
      <w:r w:rsidRPr="00824BC0">
        <w:rPr>
          <w:bCs/>
          <w:szCs w:val="24"/>
        </w:rPr>
        <w:t>Analysis of the Due to NGAs account of BASC showed a balance of ₱50,647,752.58 as of December 31, 2021</w:t>
      </w:r>
      <w:r w:rsidR="00382419" w:rsidRPr="00824BC0">
        <w:rPr>
          <w:bCs/>
          <w:szCs w:val="24"/>
        </w:rPr>
        <w:t>,</w:t>
      </w:r>
      <w:r w:rsidRPr="00824BC0">
        <w:rPr>
          <w:bCs/>
          <w:szCs w:val="24"/>
        </w:rPr>
        <w:t xml:space="preserve"> summarized as follows:</w:t>
      </w:r>
    </w:p>
    <w:p w14:paraId="7CC9293D" w14:textId="77777777" w:rsidR="00C93787" w:rsidRPr="00824BC0" w:rsidRDefault="00C93787" w:rsidP="00C93787">
      <w:pPr>
        <w:spacing w:after="0" w:line="240" w:lineRule="auto"/>
        <w:jc w:val="both"/>
        <w:rPr>
          <w:rFonts w:ascii="Times New Roman" w:hAnsi="Times New Roman" w:cs="Times New Roman"/>
          <w:bCs/>
          <w:sz w:val="24"/>
          <w:szCs w:val="24"/>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1703"/>
      </w:tblGrid>
      <w:tr w:rsidR="00C93787" w:rsidRPr="00824BC0" w14:paraId="5E502552" w14:textId="77777777" w:rsidTr="00880F38">
        <w:tc>
          <w:tcPr>
            <w:tcW w:w="4957" w:type="dxa"/>
          </w:tcPr>
          <w:p w14:paraId="4C400012" w14:textId="77777777" w:rsidR="00C93787" w:rsidRPr="00824BC0" w:rsidRDefault="00C93787" w:rsidP="00C93787">
            <w:pPr>
              <w:jc w:val="both"/>
              <w:rPr>
                <w:rFonts w:ascii="Times New Roman" w:hAnsi="Times New Roman" w:cs="Times New Roman"/>
                <w:bCs/>
                <w:sz w:val="24"/>
                <w:szCs w:val="24"/>
              </w:rPr>
            </w:pPr>
            <w:r w:rsidRPr="00824BC0">
              <w:rPr>
                <w:rFonts w:ascii="Times New Roman" w:hAnsi="Times New Roman" w:cs="Times New Roman"/>
                <w:bCs/>
                <w:sz w:val="24"/>
                <w:szCs w:val="24"/>
              </w:rPr>
              <w:t>Scholarships</w:t>
            </w:r>
          </w:p>
        </w:tc>
        <w:tc>
          <w:tcPr>
            <w:tcW w:w="1703" w:type="dxa"/>
          </w:tcPr>
          <w:p w14:paraId="4E4F9691" w14:textId="63D72C13" w:rsidR="00C93787" w:rsidRPr="00824BC0" w:rsidRDefault="00C93787" w:rsidP="00880F38">
            <w:pPr>
              <w:ind w:left="-205"/>
              <w:jc w:val="right"/>
              <w:rPr>
                <w:rFonts w:ascii="Times New Roman" w:hAnsi="Times New Roman" w:cs="Times New Roman"/>
                <w:bCs/>
                <w:sz w:val="24"/>
                <w:szCs w:val="24"/>
              </w:rPr>
            </w:pPr>
            <w:r w:rsidRPr="00824BC0">
              <w:rPr>
                <w:rFonts w:ascii="Times New Roman" w:hAnsi="Times New Roman" w:cs="Times New Roman"/>
                <w:bCs/>
                <w:sz w:val="24"/>
                <w:szCs w:val="24"/>
              </w:rPr>
              <w:t xml:space="preserve">₱ </w:t>
            </w:r>
            <w:r w:rsidR="00880F38">
              <w:rPr>
                <w:rFonts w:ascii="Times New Roman" w:hAnsi="Times New Roman" w:cs="Times New Roman"/>
                <w:bCs/>
                <w:sz w:val="24"/>
                <w:szCs w:val="24"/>
              </w:rPr>
              <w:t xml:space="preserve">     </w:t>
            </w:r>
            <w:r w:rsidRPr="00824BC0">
              <w:rPr>
                <w:rFonts w:ascii="Times New Roman" w:hAnsi="Times New Roman" w:cs="Times New Roman"/>
                <w:bCs/>
                <w:sz w:val="24"/>
                <w:szCs w:val="24"/>
              </w:rPr>
              <w:t>404,303.77</w:t>
            </w:r>
          </w:p>
        </w:tc>
      </w:tr>
      <w:tr w:rsidR="00C93787" w:rsidRPr="00824BC0" w14:paraId="6AD35B12" w14:textId="77777777" w:rsidTr="00880F38">
        <w:tc>
          <w:tcPr>
            <w:tcW w:w="4957" w:type="dxa"/>
          </w:tcPr>
          <w:p w14:paraId="43B4A32A" w14:textId="77777777" w:rsidR="00C93787" w:rsidRPr="00824BC0" w:rsidRDefault="00C93787" w:rsidP="00C93787">
            <w:pPr>
              <w:jc w:val="both"/>
              <w:rPr>
                <w:rFonts w:ascii="Times New Roman" w:hAnsi="Times New Roman" w:cs="Times New Roman"/>
                <w:bCs/>
                <w:sz w:val="24"/>
                <w:szCs w:val="24"/>
              </w:rPr>
            </w:pPr>
            <w:r w:rsidRPr="00824BC0">
              <w:rPr>
                <w:rFonts w:ascii="Times New Roman" w:hAnsi="Times New Roman" w:cs="Times New Roman"/>
                <w:bCs/>
                <w:sz w:val="24"/>
                <w:szCs w:val="24"/>
              </w:rPr>
              <w:t>Various Projects</w:t>
            </w:r>
          </w:p>
        </w:tc>
        <w:tc>
          <w:tcPr>
            <w:tcW w:w="1703" w:type="dxa"/>
          </w:tcPr>
          <w:p w14:paraId="03E45D13" w14:textId="36272B47" w:rsidR="00C93787" w:rsidRPr="00824BC0" w:rsidRDefault="00C93787" w:rsidP="00880F38">
            <w:pPr>
              <w:jc w:val="right"/>
              <w:rPr>
                <w:rFonts w:ascii="Times New Roman" w:hAnsi="Times New Roman" w:cs="Times New Roman"/>
                <w:bCs/>
                <w:sz w:val="24"/>
                <w:szCs w:val="24"/>
              </w:rPr>
            </w:pPr>
            <w:r w:rsidRPr="00824BC0">
              <w:rPr>
                <w:rFonts w:ascii="Times New Roman" w:hAnsi="Times New Roman" w:cs="Times New Roman"/>
                <w:bCs/>
                <w:sz w:val="24"/>
                <w:szCs w:val="24"/>
              </w:rPr>
              <w:t>45,092,057.37</w:t>
            </w:r>
          </w:p>
        </w:tc>
      </w:tr>
      <w:tr w:rsidR="00C93787" w:rsidRPr="00824BC0" w14:paraId="6CA23DA5" w14:textId="77777777" w:rsidTr="00880F38">
        <w:tc>
          <w:tcPr>
            <w:tcW w:w="4957" w:type="dxa"/>
          </w:tcPr>
          <w:p w14:paraId="4959B215" w14:textId="77777777" w:rsidR="00C93787" w:rsidRPr="00824BC0" w:rsidRDefault="00C93787" w:rsidP="00C93787">
            <w:pPr>
              <w:jc w:val="both"/>
              <w:rPr>
                <w:rFonts w:ascii="Times New Roman" w:hAnsi="Times New Roman" w:cs="Times New Roman"/>
                <w:bCs/>
                <w:sz w:val="24"/>
                <w:szCs w:val="24"/>
              </w:rPr>
            </w:pPr>
            <w:r w:rsidRPr="00824BC0">
              <w:rPr>
                <w:rFonts w:ascii="Times New Roman" w:hAnsi="Times New Roman" w:cs="Times New Roman"/>
                <w:bCs/>
                <w:sz w:val="24"/>
                <w:szCs w:val="24"/>
              </w:rPr>
              <w:t>Unliquidated balances from prior years</w:t>
            </w:r>
          </w:p>
        </w:tc>
        <w:tc>
          <w:tcPr>
            <w:tcW w:w="1703" w:type="dxa"/>
            <w:tcBorders>
              <w:bottom w:val="single" w:sz="4" w:space="0" w:color="auto"/>
            </w:tcBorders>
          </w:tcPr>
          <w:p w14:paraId="1111A2E1" w14:textId="619F4501" w:rsidR="00C93787" w:rsidRPr="00824BC0" w:rsidRDefault="00C93787" w:rsidP="00880F38">
            <w:pPr>
              <w:jc w:val="right"/>
              <w:rPr>
                <w:rFonts w:ascii="Times New Roman" w:hAnsi="Times New Roman" w:cs="Times New Roman"/>
                <w:bCs/>
                <w:sz w:val="24"/>
                <w:szCs w:val="24"/>
              </w:rPr>
            </w:pPr>
            <w:r w:rsidRPr="00824BC0">
              <w:rPr>
                <w:rFonts w:ascii="Times New Roman" w:hAnsi="Times New Roman" w:cs="Times New Roman"/>
                <w:bCs/>
                <w:sz w:val="24"/>
                <w:szCs w:val="24"/>
              </w:rPr>
              <w:t>5,151,391.44</w:t>
            </w:r>
          </w:p>
        </w:tc>
      </w:tr>
      <w:tr w:rsidR="00C93787" w:rsidRPr="00824BC0" w14:paraId="0EA7C912" w14:textId="77777777" w:rsidTr="00880F38">
        <w:tc>
          <w:tcPr>
            <w:tcW w:w="4957" w:type="dxa"/>
          </w:tcPr>
          <w:p w14:paraId="2723CDB7" w14:textId="77777777" w:rsidR="00C93787" w:rsidRPr="00824BC0" w:rsidRDefault="00C93787" w:rsidP="00C93787">
            <w:pPr>
              <w:jc w:val="center"/>
              <w:rPr>
                <w:rFonts w:ascii="Times New Roman" w:hAnsi="Times New Roman" w:cs="Times New Roman"/>
                <w:bCs/>
                <w:sz w:val="24"/>
                <w:szCs w:val="24"/>
              </w:rPr>
            </w:pPr>
            <w:r w:rsidRPr="00824BC0">
              <w:rPr>
                <w:rFonts w:ascii="Times New Roman" w:hAnsi="Times New Roman" w:cs="Times New Roman"/>
                <w:bCs/>
                <w:sz w:val="24"/>
                <w:szCs w:val="24"/>
              </w:rPr>
              <w:t>TOTAL</w:t>
            </w:r>
          </w:p>
        </w:tc>
        <w:tc>
          <w:tcPr>
            <w:tcW w:w="1703" w:type="dxa"/>
            <w:tcBorders>
              <w:top w:val="single" w:sz="4" w:space="0" w:color="auto"/>
              <w:bottom w:val="double" w:sz="4" w:space="0" w:color="auto"/>
            </w:tcBorders>
          </w:tcPr>
          <w:p w14:paraId="2397B92D" w14:textId="77777777" w:rsidR="00C93787" w:rsidRPr="00824BC0" w:rsidRDefault="00C93787" w:rsidP="00880F38">
            <w:pPr>
              <w:ind w:left="-205"/>
              <w:jc w:val="right"/>
              <w:rPr>
                <w:rFonts w:ascii="Times New Roman" w:hAnsi="Times New Roman" w:cs="Times New Roman"/>
                <w:b/>
                <w:bCs/>
                <w:sz w:val="24"/>
                <w:szCs w:val="24"/>
              </w:rPr>
            </w:pPr>
            <w:r w:rsidRPr="00824BC0">
              <w:rPr>
                <w:rFonts w:ascii="Times New Roman" w:hAnsi="Times New Roman" w:cs="Times New Roman"/>
                <w:b/>
                <w:bCs/>
                <w:sz w:val="24"/>
                <w:szCs w:val="24"/>
              </w:rPr>
              <w:t>₱ 50,647,752.58</w:t>
            </w:r>
          </w:p>
        </w:tc>
      </w:tr>
    </w:tbl>
    <w:p w14:paraId="55D96339" w14:textId="77777777" w:rsidR="00C93787" w:rsidRPr="00824BC0" w:rsidRDefault="00C93787" w:rsidP="00C93787">
      <w:pPr>
        <w:spacing w:after="0" w:line="240" w:lineRule="auto"/>
        <w:jc w:val="both"/>
        <w:rPr>
          <w:rFonts w:ascii="Times New Roman" w:hAnsi="Times New Roman" w:cs="Times New Roman"/>
          <w:b/>
          <w:bCs/>
          <w:sz w:val="24"/>
          <w:szCs w:val="24"/>
        </w:rPr>
      </w:pPr>
    </w:p>
    <w:p w14:paraId="0FC05794" w14:textId="4BDF7ECD" w:rsidR="00C93787" w:rsidRPr="00824BC0" w:rsidRDefault="00C93787" w:rsidP="00C93787">
      <w:pPr>
        <w:pStyle w:val="ListParagraph"/>
        <w:numPr>
          <w:ilvl w:val="1"/>
          <w:numId w:val="5"/>
        </w:numPr>
        <w:ind w:left="0" w:firstLine="0"/>
        <w:jc w:val="both"/>
        <w:rPr>
          <w:bCs/>
          <w:szCs w:val="24"/>
        </w:rPr>
      </w:pPr>
      <w:r w:rsidRPr="00824BC0">
        <w:rPr>
          <w:bCs/>
          <w:szCs w:val="24"/>
        </w:rPr>
        <w:t xml:space="preserve">Scrutiny of the details of the account revealed that the balance included the Smart Campus Development </w:t>
      </w:r>
      <w:r w:rsidR="000A74E8" w:rsidRPr="00824BC0">
        <w:rPr>
          <w:bCs/>
          <w:szCs w:val="24"/>
        </w:rPr>
        <w:t xml:space="preserve">Program </w:t>
      </w:r>
      <w:r w:rsidRPr="00824BC0">
        <w:rPr>
          <w:bCs/>
          <w:szCs w:val="24"/>
        </w:rPr>
        <w:t xml:space="preserve">grant amounting to ₱25,000,000.00 which remained classified as Due to NGAs as of year-end despite the Memorandum from the CHED to treat the </w:t>
      </w:r>
      <w:r w:rsidR="00382419" w:rsidRPr="00824BC0">
        <w:rPr>
          <w:bCs/>
          <w:szCs w:val="24"/>
        </w:rPr>
        <w:t xml:space="preserve">receipt thereof </w:t>
      </w:r>
      <w:r w:rsidRPr="00824BC0">
        <w:rPr>
          <w:bCs/>
          <w:szCs w:val="24"/>
        </w:rPr>
        <w:t xml:space="preserve">as Revenue and recognize </w:t>
      </w:r>
      <w:r w:rsidR="00382419" w:rsidRPr="00824BC0">
        <w:rPr>
          <w:bCs/>
          <w:szCs w:val="24"/>
        </w:rPr>
        <w:t>the transaction</w:t>
      </w:r>
      <w:r w:rsidRPr="00824BC0">
        <w:rPr>
          <w:bCs/>
          <w:szCs w:val="24"/>
        </w:rPr>
        <w:t xml:space="preserve"> as Income from Grants and Donations.</w:t>
      </w:r>
    </w:p>
    <w:p w14:paraId="60EC8262" w14:textId="77777777" w:rsidR="00C93787" w:rsidRPr="00824BC0" w:rsidRDefault="00C93787" w:rsidP="00C93787">
      <w:pPr>
        <w:spacing w:after="0" w:line="240" w:lineRule="auto"/>
        <w:jc w:val="both"/>
        <w:rPr>
          <w:rFonts w:ascii="Times New Roman" w:hAnsi="Times New Roman" w:cs="Times New Roman"/>
          <w:bCs/>
          <w:sz w:val="24"/>
          <w:szCs w:val="24"/>
        </w:rPr>
      </w:pPr>
    </w:p>
    <w:p w14:paraId="6C52DD97" w14:textId="229E66CF" w:rsidR="00C93787" w:rsidRPr="00824BC0" w:rsidRDefault="00C93787" w:rsidP="00C93787">
      <w:pPr>
        <w:pStyle w:val="ListParagraph"/>
        <w:numPr>
          <w:ilvl w:val="1"/>
          <w:numId w:val="5"/>
        </w:numPr>
        <w:ind w:left="0" w:firstLine="0"/>
        <w:jc w:val="both"/>
        <w:rPr>
          <w:bCs/>
          <w:szCs w:val="24"/>
        </w:rPr>
      </w:pPr>
      <w:r w:rsidRPr="00824BC0">
        <w:rPr>
          <w:bCs/>
          <w:szCs w:val="24"/>
        </w:rPr>
        <w:t xml:space="preserve">The omission to correctly recognize the Smart </w:t>
      </w:r>
      <w:r w:rsidR="000A74E8" w:rsidRPr="00824BC0">
        <w:rPr>
          <w:bCs/>
          <w:szCs w:val="24"/>
        </w:rPr>
        <w:t xml:space="preserve">Campus </w:t>
      </w:r>
      <w:r w:rsidRPr="00824BC0">
        <w:rPr>
          <w:bCs/>
          <w:szCs w:val="24"/>
        </w:rPr>
        <w:t xml:space="preserve">Development </w:t>
      </w:r>
      <w:r w:rsidR="000A74E8" w:rsidRPr="00824BC0">
        <w:rPr>
          <w:bCs/>
          <w:szCs w:val="24"/>
        </w:rPr>
        <w:t xml:space="preserve">Program </w:t>
      </w:r>
      <w:r w:rsidRPr="00824BC0">
        <w:rPr>
          <w:bCs/>
          <w:szCs w:val="24"/>
        </w:rPr>
        <w:t xml:space="preserve">funds as revenue instead of liability </w:t>
      </w:r>
      <w:r w:rsidR="00382419" w:rsidRPr="00824BC0">
        <w:rPr>
          <w:bCs/>
          <w:szCs w:val="24"/>
        </w:rPr>
        <w:t xml:space="preserve">overstated </w:t>
      </w:r>
      <w:r w:rsidRPr="00824BC0">
        <w:rPr>
          <w:bCs/>
          <w:szCs w:val="24"/>
        </w:rPr>
        <w:t>the Due to NGAs account</w:t>
      </w:r>
      <w:r w:rsidR="00382419" w:rsidRPr="00824BC0">
        <w:rPr>
          <w:bCs/>
          <w:szCs w:val="24"/>
        </w:rPr>
        <w:t>. Inversely,</w:t>
      </w:r>
      <w:r w:rsidRPr="00824BC0">
        <w:rPr>
          <w:bCs/>
          <w:szCs w:val="24"/>
        </w:rPr>
        <w:t xml:space="preserve"> the Income from Grants and Donations</w:t>
      </w:r>
      <w:r w:rsidR="00BA575D">
        <w:rPr>
          <w:bCs/>
          <w:szCs w:val="24"/>
        </w:rPr>
        <w:t>/Accumulated Surplus</w:t>
      </w:r>
      <w:r w:rsidRPr="00824BC0">
        <w:rPr>
          <w:bCs/>
          <w:szCs w:val="24"/>
        </w:rPr>
        <w:t xml:space="preserve"> account </w:t>
      </w:r>
      <w:r w:rsidR="00880F38">
        <w:rPr>
          <w:bCs/>
          <w:szCs w:val="24"/>
        </w:rPr>
        <w:t xml:space="preserve">was </w:t>
      </w:r>
      <w:r w:rsidRPr="00824BC0">
        <w:rPr>
          <w:bCs/>
          <w:szCs w:val="24"/>
        </w:rPr>
        <w:t>understated by ₱25,000,000.00 as of December 31, 2021.</w:t>
      </w:r>
    </w:p>
    <w:p w14:paraId="420BCA97" w14:textId="77777777" w:rsidR="00C93787" w:rsidRPr="00824BC0" w:rsidRDefault="00C93787" w:rsidP="00C93787">
      <w:pPr>
        <w:spacing w:after="0" w:line="240" w:lineRule="auto"/>
        <w:jc w:val="both"/>
        <w:rPr>
          <w:rFonts w:ascii="Times New Roman" w:hAnsi="Times New Roman" w:cs="Times New Roman"/>
          <w:b/>
          <w:bCs/>
          <w:sz w:val="24"/>
          <w:szCs w:val="24"/>
        </w:rPr>
      </w:pPr>
    </w:p>
    <w:p w14:paraId="2A452B93" w14:textId="027810B0" w:rsidR="00C93787" w:rsidRPr="00824BC0" w:rsidRDefault="00C93787" w:rsidP="00C93787">
      <w:pPr>
        <w:pStyle w:val="ListParagraph"/>
        <w:numPr>
          <w:ilvl w:val="1"/>
          <w:numId w:val="5"/>
        </w:numPr>
        <w:ind w:left="0" w:firstLine="0"/>
        <w:jc w:val="both"/>
        <w:rPr>
          <w:szCs w:val="24"/>
        </w:rPr>
      </w:pPr>
      <w:r w:rsidRPr="00824BC0">
        <w:rPr>
          <w:b/>
          <w:bCs/>
          <w:szCs w:val="24"/>
        </w:rPr>
        <w:t>We recommend</w:t>
      </w:r>
      <w:r w:rsidR="000A74E8" w:rsidRPr="00824BC0">
        <w:rPr>
          <w:b/>
          <w:bCs/>
          <w:szCs w:val="24"/>
        </w:rPr>
        <w:t>ed</w:t>
      </w:r>
      <w:r w:rsidRPr="00824BC0">
        <w:rPr>
          <w:b/>
          <w:bCs/>
          <w:szCs w:val="24"/>
        </w:rPr>
        <w:t xml:space="preserve"> </w:t>
      </w:r>
      <w:r w:rsidR="000A74E8" w:rsidRPr="00824BC0">
        <w:rPr>
          <w:b/>
          <w:bCs/>
          <w:szCs w:val="24"/>
        </w:rPr>
        <w:t xml:space="preserve">and </w:t>
      </w:r>
      <w:r w:rsidRPr="00824BC0">
        <w:rPr>
          <w:b/>
          <w:bCs/>
          <w:szCs w:val="24"/>
        </w:rPr>
        <w:t xml:space="preserve">Management </w:t>
      </w:r>
      <w:r w:rsidR="000A74E8" w:rsidRPr="00824BC0">
        <w:rPr>
          <w:b/>
          <w:bCs/>
          <w:szCs w:val="24"/>
        </w:rPr>
        <w:t xml:space="preserve">agreed to </w:t>
      </w:r>
      <w:r w:rsidRPr="00824BC0">
        <w:rPr>
          <w:b/>
          <w:bCs/>
          <w:szCs w:val="24"/>
        </w:rPr>
        <w:t>direct the Accountant to draw the corresponding adjusting entries to properly recognize the Smart Development Campus funds amounting to ₱25,000,000.00 as Income from Grants and Donations instead of Due to NGAs</w:t>
      </w:r>
      <w:r w:rsidR="00BA575D">
        <w:rPr>
          <w:b/>
          <w:bCs/>
          <w:szCs w:val="24"/>
        </w:rPr>
        <w:t>/Accumulated Surplus</w:t>
      </w:r>
      <w:r w:rsidRPr="00824BC0">
        <w:rPr>
          <w:b/>
          <w:bCs/>
          <w:szCs w:val="24"/>
        </w:rPr>
        <w:t>.</w:t>
      </w:r>
    </w:p>
    <w:p w14:paraId="4FB30A38" w14:textId="38EAE439" w:rsidR="00B04D1B" w:rsidRPr="00824BC0" w:rsidRDefault="00B04D1B" w:rsidP="000A74E8">
      <w:pPr>
        <w:spacing w:after="0"/>
        <w:jc w:val="both"/>
        <w:rPr>
          <w:rFonts w:ascii="Times New Roman" w:hAnsi="Times New Roman" w:cs="Times New Roman"/>
          <w:i/>
          <w:iCs/>
          <w:sz w:val="24"/>
          <w:szCs w:val="24"/>
        </w:rPr>
      </w:pPr>
    </w:p>
    <w:p w14:paraId="203839CA" w14:textId="2ABE8021" w:rsidR="001F7655" w:rsidRPr="00824BC0" w:rsidRDefault="000A74E8" w:rsidP="000A74E8">
      <w:pPr>
        <w:spacing w:after="0" w:line="240" w:lineRule="auto"/>
        <w:rPr>
          <w:rFonts w:ascii="Times New Roman" w:hAnsi="Times New Roman" w:cs="Times New Roman"/>
          <w:sz w:val="24"/>
          <w:szCs w:val="24"/>
        </w:rPr>
      </w:pPr>
      <w:r w:rsidRPr="00824BC0">
        <w:rPr>
          <w:rFonts w:ascii="Times New Roman" w:hAnsi="Times New Roman" w:cs="Times New Roman"/>
          <w:i/>
          <w:iCs/>
          <w:sz w:val="24"/>
          <w:szCs w:val="24"/>
        </w:rPr>
        <w:t>Management Comments:</w:t>
      </w:r>
    </w:p>
    <w:p w14:paraId="69464E13" w14:textId="492E11CF" w:rsidR="000A74E8" w:rsidRPr="00824BC0" w:rsidRDefault="000A74E8" w:rsidP="000A74E8">
      <w:pPr>
        <w:spacing w:after="0" w:line="240" w:lineRule="auto"/>
        <w:rPr>
          <w:rFonts w:ascii="Times New Roman" w:hAnsi="Times New Roman" w:cs="Times New Roman"/>
          <w:sz w:val="24"/>
          <w:szCs w:val="24"/>
        </w:rPr>
      </w:pPr>
    </w:p>
    <w:p w14:paraId="53237D24" w14:textId="31EFF941" w:rsidR="00382419" w:rsidRPr="00824BC0" w:rsidRDefault="000A74E8" w:rsidP="00382419">
      <w:pPr>
        <w:pStyle w:val="ListParagraph"/>
        <w:numPr>
          <w:ilvl w:val="1"/>
          <w:numId w:val="5"/>
        </w:numPr>
        <w:ind w:left="0" w:firstLine="0"/>
        <w:jc w:val="both"/>
        <w:rPr>
          <w:szCs w:val="24"/>
        </w:rPr>
      </w:pPr>
      <w:r w:rsidRPr="00824BC0">
        <w:rPr>
          <w:szCs w:val="24"/>
        </w:rPr>
        <w:t xml:space="preserve">The College Accountant </w:t>
      </w:r>
      <w:r w:rsidR="00880F38">
        <w:rPr>
          <w:szCs w:val="24"/>
        </w:rPr>
        <w:t>already</w:t>
      </w:r>
      <w:r w:rsidRPr="00824BC0">
        <w:rPr>
          <w:szCs w:val="24"/>
        </w:rPr>
        <w:t xml:space="preserve"> </w:t>
      </w:r>
      <w:r w:rsidR="00E72A07" w:rsidRPr="00824BC0">
        <w:rPr>
          <w:szCs w:val="24"/>
        </w:rPr>
        <w:t xml:space="preserve">prepared </w:t>
      </w:r>
      <w:r w:rsidRPr="00824BC0">
        <w:rPr>
          <w:szCs w:val="24"/>
        </w:rPr>
        <w:t xml:space="preserve">Journal Entry Voucher (JEV) No. 22-02 to properly recognize the Smart Campus Development Program grant as Income from </w:t>
      </w:r>
      <w:r w:rsidRPr="00824BC0">
        <w:rPr>
          <w:szCs w:val="24"/>
        </w:rPr>
        <w:lastRenderedPageBreak/>
        <w:t>Grants and Donations instead of Due to NGAs.</w:t>
      </w:r>
      <w:r w:rsidR="00D4597D" w:rsidRPr="00824BC0">
        <w:rPr>
          <w:szCs w:val="24"/>
        </w:rPr>
        <w:t xml:space="preserve">  A copy of the said JEV </w:t>
      </w:r>
      <w:r w:rsidR="00E72A07" w:rsidRPr="00824BC0">
        <w:rPr>
          <w:szCs w:val="24"/>
        </w:rPr>
        <w:t xml:space="preserve">will be </w:t>
      </w:r>
      <w:r w:rsidR="00D4597D" w:rsidRPr="00824BC0">
        <w:rPr>
          <w:szCs w:val="24"/>
        </w:rPr>
        <w:t>provided to the Audit Team.</w:t>
      </w:r>
    </w:p>
    <w:p w14:paraId="37395E75" w14:textId="77777777" w:rsidR="00382419" w:rsidRPr="00824BC0" w:rsidRDefault="00382419" w:rsidP="00382419">
      <w:pPr>
        <w:pStyle w:val="ListParagraph"/>
        <w:ind w:left="0"/>
        <w:jc w:val="both"/>
        <w:rPr>
          <w:szCs w:val="24"/>
        </w:rPr>
      </w:pPr>
    </w:p>
    <w:p w14:paraId="51A4782E" w14:textId="77777777" w:rsidR="00382419" w:rsidRPr="00824BC0" w:rsidRDefault="00382419" w:rsidP="00382419">
      <w:pPr>
        <w:pStyle w:val="ListParagraph"/>
        <w:ind w:left="0"/>
        <w:jc w:val="both"/>
        <w:rPr>
          <w:szCs w:val="24"/>
        </w:rPr>
      </w:pPr>
    </w:p>
    <w:p w14:paraId="2A06DE2A" w14:textId="2EE99276" w:rsidR="00F34699" w:rsidRPr="00824BC0" w:rsidRDefault="00F34699" w:rsidP="00382419">
      <w:pPr>
        <w:pStyle w:val="ListParagraph"/>
        <w:ind w:left="0"/>
        <w:jc w:val="both"/>
        <w:rPr>
          <w:szCs w:val="24"/>
        </w:rPr>
      </w:pPr>
      <w:r w:rsidRPr="00824BC0">
        <w:rPr>
          <w:i/>
          <w:szCs w:val="24"/>
        </w:rPr>
        <w:t>Unreliable year-end balance of Due to NGAs – ₱50.648 million</w:t>
      </w:r>
    </w:p>
    <w:p w14:paraId="7701E6F9" w14:textId="77777777" w:rsidR="00F34699" w:rsidRPr="00824BC0" w:rsidRDefault="00F34699" w:rsidP="000A74E8">
      <w:pPr>
        <w:spacing w:after="0" w:line="240" w:lineRule="auto"/>
        <w:jc w:val="both"/>
        <w:rPr>
          <w:rFonts w:ascii="Times New Roman" w:hAnsi="Times New Roman" w:cs="Times New Roman"/>
          <w:sz w:val="24"/>
          <w:szCs w:val="24"/>
        </w:rPr>
      </w:pPr>
    </w:p>
    <w:p w14:paraId="1D9374B7" w14:textId="10CAB64C" w:rsidR="00F34699" w:rsidRPr="00824BC0" w:rsidRDefault="00F34699" w:rsidP="00F34699">
      <w:pPr>
        <w:pStyle w:val="ListParagraph"/>
        <w:numPr>
          <w:ilvl w:val="0"/>
          <w:numId w:val="5"/>
        </w:numPr>
        <w:ind w:left="0" w:firstLine="0"/>
        <w:jc w:val="both"/>
        <w:rPr>
          <w:b/>
          <w:bCs/>
          <w:i/>
          <w:iCs/>
          <w:szCs w:val="24"/>
        </w:rPr>
      </w:pPr>
      <w:r w:rsidRPr="00824BC0">
        <w:rPr>
          <w:b/>
          <w:bCs/>
          <w:i/>
          <w:iCs/>
          <w:szCs w:val="24"/>
        </w:rPr>
        <w:t xml:space="preserve">The reliability of the reported balance of Due to NGAs account as of December 31, 2021 amounting to ₱50,647,752.58 was uncertain due to (a) incorrect recognition of transactions </w:t>
      </w:r>
      <w:r w:rsidR="00133E63" w:rsidRPr="00824BC0">
        <w:rPr>
          <w:b/>
          <w:bCs/>
          <w:i/>
          <w:iCs/>
          <w:szCs w:val="24"/>
        </w:rPr>
        <w:t>totaling</w:t>
      </w:r>
      <w:r w:rsidRPr="00824BC0">
        <w:rPr>
          <w:b/>
          <w:bCs/>
          <w:i/>
          <w:iCs/>
          <w:szCs w:val="24"/>
        </w:rPr>
        <w:t xml:space="preserve"> ₱29,024,349.44, overstating the account contrary to the Government Accounting Manual</w:t>
      </w:r>
      <w:r w:rsidR="00382419" w:rsidRPr="00824BC0">
        <w:rPr>
          <w:b/>
          <w:bCs/>
          <w:i/>
          <w:iCs/>
          <w:szCs w:val="24"/>
        </w:rPr>
        <w:t xml:space="preserve"> (GAM)</w:t>
      </w:r>
      <w:r w:rsidRPr="00824BC0">
        <w:rPr>
          <w:b/>
          <w:bCs/>
          <w:i/>
          <w:iCs/>
          <w:szCs w:val="24"/>
        </w:rPr>
        <w:t xml:space="preserve"> for National Government Agencies (NGAs), Volume III; and (b) inclusion of unexpended fund balances of completed projects </w:t>
      </w:r>
      <w:r w:rsidR="00BA575D">
        <w:rPr>
          <w:b/>
          <w:bCs/>
          <w:i/>
          <w:iCs/>
          <w:szCs w:val="24"/>
        </w:rPr>
        <w:t>totaling</w:t>
      </w:r>
      <w:r w:rsidRPr="00824BC0">
        <w:rPr>
          <w:b/>
          <w:bCs/>
          <w:i/>
          <w:iCs/>
          <w:szCs w:val="24"/>
        </w:rPr>
        <w:t xml:space="preserve"> ₱427,369.08, which are yet to be liquidated and returned to the  source agencies, inconsistent with Section 4.9 of COA Circular No. 94-013 dated December 13, 1994.</w:t>
      </w:r>
    </w:p>
    <w:p w14:paraId="3CF159B0" w14:textId="77777777" w:rsidR="00F34699" w:rsidRPr="00824BC0" w:rsidRDefault="00F34699" w:rsidP="00F34699">
      <w:pPr>
        <w:spacing w:after="0" w:line="240" w:lineRule="auto"/>
        <w:jc w:val="both"/>
        <w:rPr>
          <w:rFonts w:ascii="Times New Roman" w:hAnsi="Times New Roman" w:cs="Times New Roman"/>
          <w:b/>
          <w:bCs/>
          <w:i/>
          <w:iCs/>
          <w:sz w:val="24"/>
          <w:szCs w:val="24"/>
        </w:rPr>
      </w:pPr>
    </w:p>
    <w:p w14:paraId="120A7A2D" w14:textId="0D30D4C6" w:rsidR="00F34699" w:rsidRPr="00824BC0" w:rsidRDefault="00CA43B0" w:rsidP="00F34699">
      <w:pPr>
        <w:pStyle w:val="ListParagraph"/>
        <w:numPr>
          <w:ilvl w:val="0"/>
          <w:numId w:val="7"/>
        </w:numPr>
        <w:jc w:val="both"/>
        <w:rPr>
          <w:bCs/>
          <w:i/>
          <w:szCs w:val="24"/>
        </w:rPr>
      </w:pPr>
      <w:r w:rsidRPr="00824BC0">
        <w:rPr>
          <w:bCs/>
          <w:i/>
          <w:szCs w:val="24"/>
        </w:rPr>
        <w:t>Transactions</w:t>
      </w:r>
      <w:r w:rsidR="00F34699" w:rsidRPr="00824BC0">
        <w:rPr>
          <w:bCs/>
          <w:i/>
          <w:szCs w:val="24"/>
        </w:rPr>
        <w:t xml:space="preserve"> incorrectly recognized as Due to NGAs -  ₱29,024,349.44</w:t>
      </w:r>
    </w:p>
    <w:p w14:paraId="36FDBD88" w14:textId="77777777" w:rsidR="00F34699" w:rsidRPr="00824BC0" w:rsidRDefault="00F34699" w:rsidP="00F34699">
      <w:pPr>
        <w:spacing w:after="0" w:line="240" w:lineRule="auto"/>
        <w:jc w:val="both"/>
        <w:rPr>
          <w:rFonts w:ascii="Times New Roman" w:hAnsi="Times New Roman" w:cs="Times New Roman"/>
          <w:b/>
          <w:bCs/>
          <w:sz w:val="24"/>
          <w:szCs w:val="24"/>
        </w:rPr>
      </w:pPr>
    </w:p>
    <w:p w14:paraId="3F5CD230" w14:textId="5E50D3F8" w:rsidR="00F34699" w:rsidRPr="00824BC0" w:rsidRDefault="00F34699" w:rsidP="00F34699">
      <w:pPr>
        <w:pStyle w:val="ListParagraph"/>
        <w:numPr>
          <w:ilvl w:val="1"/>
          <w:numId w:val="5"/>
        </w:numPr>
        <w:ind w:left="0" w:firstLine="0"/>
        <w:jc w:val="both"/>
        <w:rPr>
          <w:bCs/>
          <w:szCs w:val="24"/>
        </w:rPr>
      </w:pPr>
      <w:r w:rsidRPr="00824BC0">
        <w:rPr>
          <w:bCs/>
          <w:szCs w:val="24"/>
        </w:rPr>
        <w:t xml:space="preserve">The Government Accounting Manual </w:t>
      </w:r>
      <w:r w:rsidR="00CA43B0" w:rsidRPr="00824BC0">
        <w:rPr>
          <w:bCs/>
          <w:szCs w:val="24"/>
        </w:rPr>
        <w:t xml:space="preserve">(GAM) </w:t>
      </w:r>
      <w:r w:rsidRPr="00824BC0">
        <w:rPr>
          <w:bCs/>
          <w:szCs w:val="24"/>
        </w:rPr>
        <w:t>for National Government Agencies (NGAs), Volume III, describes the account Due to NGAs as follows:</w:t>
      </w:r>
    </w:p>
    <w:p w14:paraId="66F855B9" w14:textId="77777777" w:rsidR="00F34699" w:rsidRPr="00824BC0" w:rsidRDefault="00F34699" w:rsidP="00F34699">
      <w:pPr>
        <w:spacing w:after="0" w:line="240" w:lineRule="auto"/>
        <w:ind w:firstLine="720"/>
        <w:jc w:val="both"/>
        <w:rPr>
          <w:rFonts w:ascii="Times New Roman" w:hAnsi="Times New Roman" w:cs="Times New Roman"/>
          <w:bCs/>
          <w:sz w:val="24"/>
          <w:szCs w:val="24"/>
        </w:rPr>
      </w:pPr>
    </w:p>
    <w:p w14:paraId="5FFD95B0" w14:textId="77777777" w:rsidR="00F34699" w:rsidRPr="00824BC0" w:rsidRDefault="00F34699" w:rsidP="00F34699">
      <w:pPr>
        <w:spacing w:after="0" w:line="240" w:lineRule="auto"/>
        <w:ind w:firstLine="720"/>
        <w:jc w:val="both"/>
        <w:rPr>
          <w:rFonts w:ascii="Times New Roman" w:hAnsi="Times New Roman" w:cs="Times New Roman"/>
          <w:bCs/>
          <w:i/>
          <w:sz w:val="24"/>
          <w:szCs w:val="24"/>
        </w:rPr>
      </w:pPr>
      <w:r w:rsidRPr="00824BC0">
        <w:rPr>
          <w:rFonts w:ascii="Times New Roman" w:hAnsi="Times New Roman" w:cs="Times New Roman"/>
          <w:bCs/>
          <w:i/>
          <w:sz w:val="24"/>
          <w:szCs w:val="24"/>
        </w:rPr>
        <w:t>Account Title</w:t>
      </w:r>
      <w:r w:rsidRPr="00824BC0">
        <w:rPr>
          <w:rFonts w:ascii="Times New Roman" w:hAnsi="Times New Roman" w:cs="Times New Roman"/>
          <w:bCs/>
          <w:i/>
          <w:sz w:val="24"/>
          <w:szCs w:val="24"/>
        </w:rPr>
        <w:tab/>
      </w:r>
      <w:r w:rsidRPr="00824BC0">
        <w:rPr>
          <w:rFonts w:ascii="Times New Roman" w:hAnsi="Times New Roman" w:cs="Times New Roman"/>
          <w:bCs/>
          <w:i/>
          <w:sz w:val="24"/>
          <w:szCs w:val="24"/>
        </w:rPr>
        <w:tab/>
        <w:t xml:space="preserve">Due to NGAs </w:t>
      </w:r>
    </w:p>
    <w:p w14:paraId="1E6467F7" w14:textId="77777777" w:rsidR="00F34699" w:rsidRPr="00824BC0" w:rsidRDefault="00F34699" w:rsidP="00F34699">
      <w:pPr>
        <w:spacing w:after="0" w:line="240" w:lineRule="auto"/>
        <w:ind w:firstLine="720"/>
        <w:jc w:val="both"/>
        <w:rPr>
          <w:rFonts w:ascii="Times New Roman" w:hAnsi="Times New Roman" w:cs="Times New Roman"/>
          <w:bCs/>
          <w:i/>
          <w:sz w:val="24"/>
          <w:szCs w:val="24"/>
        </w:rPr>
      </w:pPr>
      <w:r w:rsidRPr="00824BC0">
        <w:rPr>
          <w:rFonts w:ascii="Times New Roman" w:hAnsi="Times New Roman" w:cs="Times New Roman"/>
          <w:bCs/>
          <w:i/>
          <w:sz w:val="24"/>
          <w:szCs w:val="24"/>
        </w:rPr>
        <w:t>Account Number</w:t>
      </w:r>
      <w:r w:rsidRPr="00824BC0">
        <w:rPr>
          <w:rFonts w:ascii="Times New Roman" w:hAnsi="Times New Roman" w:cs="Times New Roman"/>
          <w:bCs/>
          <w:i/>
          <w:sz w:val="24"/>
          <w:szCs w:val="24"/>
        </w:rPr>
        <w:tab/>
        <w:t>20201050</w:t>
      </w:r>
    </w:p>
    <w:p w14:paraId="0CF53F35" w14:textId="77777777" w:rsidR="00F34699" w:rsidRPr="00824BC0" w:rsidRDefault="00F34699" w:rsidP="00F34699">
      <w:pPr>
        <w:spacing w:after="0" w:line="240" w:lineRule="auto"/>
        <w:ind w:firstLine="720"/>
        <w:jc w:val="both"/>
        <w:rPr>
          <w:rFonts w:ascii="Times New Roman" w:hAnsi="Times New Roman" w:cs="Times New Roman"/>
          <w:bCs/>
          <w:i/>
          <w:sz w:val="24"/>
          <w:szCs w:val="24"/>
        </w:rPr>
      </w:pPr>
      <w:r w:rsidRPr="00824BC0">
        <w:rPr>
          <w:rFonts w:ascii="Times New Roman" w:hAnsi="Times New Roman" w:cs="Times New Roman"/>
          <w:bCs/>
          <w:i/>
          <w:sz w:val="24"/>
          <w:szCs w:val="24"/>
        </w:rPr>
        <w:t xml:space="preserve">Normal Balance </w:t>
      </w:r>
      <w:r w:rsidRPr="00824BC0">
        <w:rPr>
          <w:rFonts w:ascii="Times New Roman" w:hAnsi="Times New Roman" w:cs="Times New Roman"/>
          <w:bCs/>
          <w:i/>
          <w:sz w:val="24"/>
          <w:szCs w:val="24"/>
        </w:rPr>
        <w:tab/>
        <w:t xml:space="preserve">Credit </w:t>
      </w:r>
    </w:p>
    <w:p w14:paraId="37868AE1" w14:textId="77777777" w:rsidR="00F34699" w:rsidRPr="00824BC0" w:rsidRDefault="00F34699" w:rsidP="000D6661">
      <w:pPr>
        <w:spacing w:after="0" w:line="240" w:lineRule="auto"/>
        <w:ind w:left="2880" w:right="1080" w:hanging="2160"/>
        <w:jc w:val="both"/>
        <w:rPr>
          <w:rFonts w:ascii="Times New Roman" w:hAnsi="Times New Roman" w:cs="Times New Roman"/>
          <w:bCs/>
          <w:i/>
          <w:sz w:val="24"/>
          <w:szCs w:val="24"/>
        </w:rPr>
      </w:pPr>
      <w:r w:rsidRPr="00824BC0">
        <w:rPr>
          <w:rFonts w:ascii="Times New Roman" w:hAnsi="Times New Roman" w:cs="Times New Roman"/>
          <w:bCs/>
          <w:i/>
          <w:sz w:val="24"/>
          <w:szCs w:val="24"/>
        </w:rPr>
        <w:t>Description</w:t>
      </w:r>
      <w:r w:rsidRPr="00824BC0">
        <w:rPr>
          <w:rFonts w:ascii="Times New Roman" w:hAnsi="Times New Roman" w:cs="Times New Roman"/>
          <w:bCs/>
          <w:i/>
          <w:sz w:val="24"/>
          <w:szCs w:val="24"/>
        </w:rPr>
        <w:tab/>
        <w:t>This account is used to recognize the receipt of funds for delivery of goods/services as authorized by law, fund transfers from NGAs, other than the BIR, for implementation of specific programs or projects and other inter-agency transactions. Debit this account for delivery of goods /services, liquidation of funds received and settlement of liabilities.</w:t>
      </w:r>
    </w:p>
    <w:p w14:paraId="3F8A9D2D" w14:textId="77777777" w:rsidR="00F34699" w:rsidRPr="00824BC0" w:rsidRDefault="00F34699" w:rsidP="00F34699">
      <w:pPr>
        <w:spacing w:after="0" w:line="240" w:lineRule="auto"/>
        <w:jc w:val="both"/>
        <w:rPr>
          <w:rFonts w:ascii="Times New Roman" w:hAnsi="Times New Roman" w:cs="Times New Roman"/>
          <w:bCs/>
          <w:sz w:val="24"/>
          <w:szCs w:val="24"/>
        </w:rPr>
      </w:pPr>
    </w:p>
    <w:p w14:paraId="43BC8D1B" w14:textId="3B540123" w:rsidR="00F34699" w:rsidRPr="00824BC0" w:rsidRDefault="00F34699" w:rsidP="00F34699">
      <w:pPr>
        <w:pStyle w:val="ListParagraph"/>
        <w:numPr>
          <w:ilvl w:val="1"/>
          <w:numId w:val="5"/>
        </w:numPr>
        <w:ind w:left="0" w:firstLine="0"/>
        <w:jc w:val="both"/>
        <w:rPr>
          <w:bCs/>
          <w:szCs w:val="24"/>
        </w:rPr>
      </w:pPr>
      <w:r w:rsidRPr="00824BC0">
        <w:rPr>
          <w:bCs/>
          <w:szCs w:val="24"/>
        </w:rPr>
        <w:t>The details of the Due to NGAs account with a carrying amount of ₱50,647,752.58 as of December 31, 2021 are summarized below:</w:t>
      </w:r>
    </w:p>
    <w:p w14:paraId="337E22C5" w14:textId="77777777" w:rsidR="00F34699" w:rsidRPr="00824BC0" w:rsidRDefault="00F34699" w:rsidP="00F34699">
      <w:pPr>
        <w:spacing w:after="0" w:line="240" w:lineRule="auto"/>
        <w:jc w:val="both"/>
        <w:rPr>
          <w:rFonts w:ascii="Times New Roman" w:hAnsi="Times New Roman" w:cs="Times New Roman"/>
          <w:bCs/>
          <w:sz w:val="24"/>
          <w:szCs w:val="24"/>
        </w:rPr>
      </w:pPr>
    </w:p>
    <w:tbl>
      <w:tblPr>
        <w:tblW w:w="6516" w:type="dxa"/>
        <w:jc w:val="center"/>
        <w:tblLook w:val="04A0" w:firstRow="1" w:lastRow="0" w:firstColumn="1" w:lastColumn="0" w:noHBand="0" w:noVBand="1"/>
      </w:tblPr>
      <w:tblGrid>
        <w:gridCol w:w="4680"/>
        <w:gridCol w:w="1836"/>
      </w:tblGrid>
      <w:tr w:rsidR="00F34699" w:rsidRPr="00824BC0" w14:paraId="1FCCBFFF" w14:textId="77777777" w:rsidTr="00742B6D">
        <w:trPr>
          <w:trHeight w:val="285"/>
          <w:jc w:val="center"/>
        </w:trPr>
        <w:tc>
          <w:tcPr>
            <w:tcW w:w="4680" w:type="dxa"/>
            <w:tcBorders>
              <w:top w:val="nil"/>
              <w:left w:val="nil"/>
              <w:bottom w:val="nil"/>
              <w:right w:val="nil"/>
            </w:tcBorders>
            <w:shd w:val="clear" w:color="auto" w:fill="auto"/>
            <w:noWrap/>
            <w:vAlign w:val="bottom"/>
            <w:hideMark/>
          </w:tcPr>
          <w:p w14:paraId="0908B0DE" w14:textId="77777777" w:rsidR="00F34699" w:rsidRPr="00824BC0" w:rsidRDefault="00F34699" w:rsidP="00F34699">
            <w:pPr>
              <w:spacing w:after="0" w:line="240" w:lineRule="auto"/>
              <w:jc w:val="both"/>
              <w:rPr>
                <w:rFonts w:ascii="Times New Roman" w:hAnsi="Times New Roman" w:cs="Times New Roman"/>
                <w:sz w:val="24"/>
                <w:szCs w:val="24"/>
                <w:lang w:eastAsia="ko-KR"/>
              </w:rPr>
            </w:pPr>
            <w:r w:rsidRPr="00824BC0">
              <w:rPr>
                <w:rFonts w:ascii="Times New Roman" w:hAnsi="Times New Roman" w:cs="Times New Roman"/>
                <w:sz w:val="24"/>
                <w:szCs w:val="24"/>
                <w:lang w:eastAsia="ko-KR"/>
              </w:rPr>
              <w:t>Not yet completed</w:t>
            </w:r>
          </w:p>
        </w:tc>
        <w:tc>
          <w:tcPr>
            <w:tcW w:w="1836" w:type="dxa"/>
            <w:tcBorders>
              <w:top w:val="nil"/>
              <w:left w:val="nil"/>
              <w:bottom w:val="nil"/>
              <w:right w:val="nil"/>
            </w:tcBorders>
            <w:shd w:val="clear" w:color="auto" w:fill="auto"/>
            <w:noWrap/>
            <w:vAlign w:val="bottom"/>
            <w:hideMark/>
          </w:tcPr>
          <w:p w14:paraId="2D75EB33" w14:textId="77777777" w:rsidR="00F34699" w:rsidRPr="00824BC0" w:rsidRDefault="00F34699" w:rsidP="00F34699">
            <w:pPr>
              <w:spacing w:after="0" w:line="240" w:lineRule="auto"/>
              <w:jc w:val="right"/>
              <w:rPr>
                <w:rFonts w:ascii="Times New Roman" w:hAnsi="Times New Roman" w:cs="Times New Roman"/>
                <w:sz w:val="24"/>
                <w:szCs w:val="24"/>
                <w:lang w:eastAsia="ko-KR"/>
              </w:rPr>
            </w:pPr>
            <w:r w:rsidRPr="00824BC0">
              <w:rPr>
                <w:rFonts w:ascii="Times New Roman" w:hAnsi="Times New Roman" w:cs="Times New Roman"/>
                <w:sz w:val="24"/>
                <w:szCs w:val="24"/>
                <w:lang w:eastAsia="ko-KR"/>
              </w:rPr>
              <w:t xml:space="preserve">₱ 20,010,037.42 </w:t>
            </w:r>
          </w:p>
        </w:tc>
      </w:tr>
      <w:tr w:rsidR="00F34699" w:rsidRPr="00824BC0" w14:paraId="51BE2EF3" w14:textId="77777777" w:rsidTr="00742B6D">
        <w:trPr>
          <w:trHeight w:val="285"/>
          <w:jc w:val="center"/>
        </w:trPr>
        <w:tc>
          <w:tcPr>
            <w:tcW w:w="4680" w:type="dxa"/>
            <w:tcBorders>
              <w:top w:val="nil"/>
              <w:left w:val="nil"/>
              <w:bottom w:val="nil"/>
              <w:right w:val="nil"/>
            </w:tcBorders>
            <w:shd w:val="clear" w:color="auto" w:fill="auto"/>
            <w:noWrap/>
            <w:vAlign w:val="bottom"/>
            <w:hideMark/>
          </w:tcPr>
          <w:p w14:paraId="0CEE6385" w14:textId="77777777" w:rsidR="00F34699" w:rsidRPr="00824BC0" w:rsidRDefault="00F34699" w:rsidP="00F34699">
            <w:pPr>
              <w:spacing w:after="0" w:line="240" w:lineRule="auto"/>
              <w:jc w:val="both"/>
              <w:rPr>
                <w:rFonts w:ascii="Times New Roman" w:hAnsi="Times New Roman" w:cs="Times New Roman"/>
                <w:sz w:val="24"/>
                <w:szCs w:val="24"/>
                <w:lang w:eastAsia="ko-KR"/>
              </w:rPr>
            </w:pPr>
            <w:r w:rsidRPr="00824BC0">
              <w:rPr>
                <w:rFonts w:ascii="Times New Roman" w:hAnsi="Times New Roman" w:cs="Times New Roman"/>
                <w:sz w:val="24"/>
                <w:szCs w:val="24"/>
                <w:lang w:eastAsia="ko-KR"/>
              </w:rPr>
              <w:t>Revolving fund</w:t>
            </w:r>
          </w:p>
        </w:tc>
        <w:tc>
          <w:tcPr>
            <w:tcW w:w="1836" w:type="dxa"/>
            <w:tcBorders>
              <w:top w:val="nil"/>
              <w:left w:val="nil"/>
              <w:bottom w:val="nil"/>
              <w:right w:val="nil"/>
            </w:tcBorders>
            <w:shd w:val="clear" w:color="auto" w:fill="auto"/>
            <w:noWrap/>
            <w:vAlign w:val="bottom"/>
            <w:hideMark/>
          </w:tcPr>
          <w:p w14:paraId="306C9C8A" w14:textId="77777777" w:rsidR="00F34699" w:rsidRPr="00824BC0" w:rsidRDefault="00F34699" w:rsidP="00F34699">
            <w:pPr>
              <w:spacing w:after="0" w:line="240" w:lineRule="auto"/>
              <w:jc w:val="right"/>
              <w:rPr>
                <w:rFonts w:ascii="Times New Roman" w:hAnsi="Times New Roman" w:cs="Times New Roman"/>
                <w:sz w:val="24"/>
                <w:szCs w:val="24"/>
                <w:lang w:eastAsia="ko-KR"/>
              </w:rPr>
            </w:pPr>
            <w:r w:rsidRPr="00824BC0">
              <w:rPr>
                <w:rFonts w:ascii="Times New Roman" w:hAnsi="Times New Roman" w:cs="Times New Roman"/>
                <w:sz w:val="24"/>
                <w:szCs w:val="24"/>
                <w:lang w:eastAsia="ko-KR"/>
              </w:rPr>
              <w:t xml:space="preserve">   1,185,996.64 </w:t>
            </w:r>
          </w:p>
        </w:tc>
      </w:tr>
      <w:tr w:rsidR="00F34699" w:rsidRPr="00824BC0" w14:paraId="2CC0C9E1" w14:textId="77777777" w:rsidTr="00742B6D">
        <w:trPr>
          <w:trHeight w:val="285"/>
          <w:jc w:val="center"/>
        </w:trPr>
        <w:tc>
          <w:tcPr>
            <w:tcW w:w="4680" w:type="dxa"/>
            <w:tcBorders>
              <w:top w:val="nil"/>
              <w:left w:val="nil"/>
              <w:bottom w:val="nil"/>
              <w:right w:val="nil"/>
            </w:tcBorders>
            <w:shd w:val="clear" w:color="auto" w:fill="auto"/>
            <w:noWrap/>
            <w:vAlign w:val="bottom"/>
            <w:hideMark/>
          </w:tcPr>
          <w:p w14:paraId="081C11CC" w14:textId="77777777" w:rsidR="00F34699" w:rsidRPr="00824BC0" w:rsidRDefault="00F34699" w:rsidP="00F34699">
            <w:pPr>
              <w:spacing w:after="0" w:line="240" w:lineRule="auto"/>
              <w:jc w:val="both"/>
              <w:rPr>
                <w:rFonts w:ascii="Times New Roman" w:hAnsi="Times New Roman" w:cs="Times New Roman"/>
                <w:sz w:val="24"/>
                <w:szCs w:val="24"/>
                <w:lang w:eastAsia="ko-KR"/>
              </w:rPr>
            </w:pPr>
            <w:r w:rsidRPr="00824BC0">
              <w:rPr>
                <w:rFonts w:ascii="Times New Roman" w:hAnsi="Times New Roman" w:cs="Times New Roman"/>
                <w:sz w:val="24"/>
                <w:szCs w:val="24"/>
                <w:lang w:eastAsia="ko-KR"/>
              </w:rPr>
              <w:t>Completed - for return to source agency</w:t>
            </w:r>
          </w:p>
        </w:tc>
        <w:tc>
          <w:tcPr>
            <w:tcW w:w="1836" w:type="dxa"/>
            <w:tcBorders>
              <w:top w:val="nil"/>
              <w:left w:val="nil"/>
              <w:bottom w:val="nil"/>
              <w:right w:val="nil"/>
            </w:tcBorders>
            <w:shd w:val="clear" w:color="auto" w:fill="auto"/>
            <w:noWrap/>
            <w:vAlign w:val="bottom"/>
            <w:hideMark/>
          </w:tcPr>
          <w:p w14:paraId="37E379B4" w14:textId="77777777" w:rsidR="00F34699" w:rsidRPr="00824BC0" w:rsidRDefault="00F34699" w:rsidP="00F34699">
            <w:pPr>
              <w:spacing w:after="0" w:line="240" w:lineRule="auto"/>
              <w:jc w:val="right"/>
              <w:rPr>
                <w:rFonts w:ascii="Times New Roman" w:hAnsi="Times New Roman" w:cs="Times New Roman"/>
                <w:sz w:val="24"/>
                <w:szCs w:val="24"/>
                <w:lang w:eastAsia="ko-KR"/>
              </w:rPr>
            </w:pPr>
            <w:r w:rsidRPr="00824BC0">
              <w:rPr>
                <w:rFonts w:ascii="Times New Roman" w:hAnsi="Times New Roman" w:cs="Times New Roman"/>
                <w:sz w:val="24"/>
                <w:szCs w:val="24"/>
                <w:lang w:eastAsia="ko-KR"/>
              </w:rPr>
              <w:t xml:space="preserve">      427,369.08 </w:t>
            </w:r>
          </w:p>
        </w:tc>
      </w:tr>
      <w:tr w:rsidR="00F34699" w:rsidRPr="00824BC0" w14:paraId="678F2149" w14:textId="77777777" w:rsidTr="00742B6D">
        <w:trPr>
          <w:trHeight w:val="285"/>
          <w:jc w:val="center"/>
        </w:trPr>
        <w:tc>
          <w:tcPr>
            <w:tcW w:w="4680" w:type="dxa"/>
            <w:tcBorders>
              <w:top w:val="nil"/>
              <w:left w:val="nil"/>
              <w:bottom w:val="nil"/>
              <w:right w:val="nil"/>
            </w:tcBorders>
            <w:shd w:val="clear" w:color="auto" w:fill="auto"/>
            <w:noWrap/>
            <w:vAlign w:val="bottom"/>
            <w:hideMark/>
          </w:tcPr>
          <w:p w14:paraId="7B0D8E42" w14:textId="77777777" w:rsidR="00F34699" w:rsidRPr="00824BC0" w:rsidRDefault="00F34699" w:rsidP="00F34699">
            <w:pPr>
              <w:spacing w:after="0" w:line="240" w:lineRule="auto"/>
              <w:jc w:val="both"/>
              <w:rPr>
                <w:rFonts w:ascii="Times New Roman" w:hAnsi="Times New Roman" w:cs="Times New Roman"/>
                <w:sz w:val="24"/>
                <w:szCs w:val="24"/>
                <w:lang w:eastAsia="ko-KR"/>
              </w:rPr>
            </w:pPr>
            <w:r w:rsidRPr="00824BC0">
              <w:rPr>
                <w:rFonts w:ascii="Times New Roman" w:hAnsi="Times New Roman" w:cs="Times New Roman"/>
                <w:sz w:val="24"/>
                <w:szCs w:val="24"/>
                <w:lang w:eastAsia="ko-KR"/>
              </w:rPr>
              <w:t>Grants/financial assistance</w:t>
            </w:r>
          </w:p>
        </w:tc>
        <w:tc>
          <w:tcPr>
            <w:tcW w:w="1836" w:type="dxa"/>
            <w:tcBorders>
              <w:top w:val="nil"/>
              <w:left w:val="nil"/>
              <w:bottom w:val="nil"/>
              <w:right w:val="nil"/>
            </w:tcBorders>
            <w:shd w:val="clear" w:color="auto" w:fill="auto"/>
            <w:noWrap/>
            <w:vAlign w:val="bottom"/>
            <w:hideMark/>
          </w:tcPr>
          <w:p w14:paraId="52176BCB" w14:textId="77777777" w:rsidR="00F34699" w:rsidRPr="00824BC0" w:rsidRDefault="00F34699" w:rsidP="00F34699">
            <w:pPr>
              <w:spacing w:after="0" w:line="240" w:lineRule="auto"/>
              <w:jc w:val="right"/>
              <w:rPr>
                <w:rFonts w:ascii="Times New Roman" w:hAnsi="Times New Roman" w:cs="Times New Roman"/>
                <w:sz w:val="24"/>
                <w:szCs w:val="24"/>
                <w:lang w:eastAsia="ko-KR"/>
              </w:rPr>
            </w:pPr>
            <w:r w:rsidRPr="00824BC0">
              <w:rPr>
                <w:rFonts w:ascii="Times New Roman" w:hAnsi="Times New Roman" w:cs="Times New Roman"/>
                <w:sz w:val="24"/>
                <w:szCs w:val="24"/>
                <w:lang w:eastAsia="ko-KR"/>
              </w:rPr>
              <w:t xml:space="preserve"> 27,909,807.56 </w:t>
            </w:r>
          </w:p>
        </w:tc>
      </w:tr>
      <w:tr w:rsidR="00F34699" w:rsidRPr="00824BC0" w14:paraId="4F1259AF" w14:textId="77777777" w:rsidTr="00742B6D">
        <w:trPr>
          <w:trHeight w:val="285"/>
          <w:jc w:val="center"/>
        </w:trPr>
        <w:tc>
          <w:tcPr>
            <w:tcW w:w="4680" w:type="dxa"/>
            <w:tcBorders>
              <w:top w:val="nil"/>
              <w:left w:val="nil"/>
              <w:bottom w:val="nil"/>
              <w:right w:val="nil"/>
            </w:tcBorders>
            <w:shd w:val="clear" w:color="auto" w:fill="auto"/>
            <w:noWrap/>
            <w:vAlign w:val="bottom"/>
            <w:hideMark/>
          </w:tcPr>
          <w:p w14:paraId="78FCE5DA" w14:textId="77777777" w:rsidR="00F34699" w:rsidRPr="00824BC0" w:rsidRDefault="00F34699" w:rsidP="00F34699">
            <w:pPr>
              <w:spacing w:after="0" w:line="240" w:lineRule="auto"/>
              <w:jc w:val="both"/>
              <w:rPr>
                <w:rFonts w:ascii="Times New Roman" w:hAnsi="Times New Roman" w:cs="Times New Roman"/>
                <w:sz w:val="24"/>
                <w:szCs w:val="24"/>
                <w:lang w:eastAsia="ko-KR"/>
              </w:rPr>
            </w:pPr>
            <w:r w:rsidRPr="00824BC0">
              <w:rPr>
                <w:rFonts w:ascii="Times New Roman" w:hAnsi="Times New Roman" w:cs="Times New Roman"/>
                <w:sz w:val="24"/>
                <w:szCs w:val="24"/>
                <w:lang w:eastAsia="ko-KR"/>
              </w:rPr>
              <w:t>Liquidated at source agency</w:t>
            </w:r>
          </w:p>
        </w:tc>
        <w:tc>
          <w:tcPr>
            <w:tcW w:w="1836" w:type="dxa"/>
            <w:tcBorders>
              <w:top w:val="nil"/>
              <w:left w:val="nil"/>
              <w:right w:val="nil"/>
            </w:tcBorders>
            <w:shd w:val="clear" w:color="auto" w:fill="auto"/>
            <w:noWrap/>
            <w:vAlign w:val="bottom"/>
            <w:hideMark/>
          </w:tcPr>
          <w:p w14:paraId="190AD176" w14:textId="77777777" w:rsidR="00F34699" w:rsidRPr="00824BC0" w:rsidRDefault="00F34699" w:rsidP="00F34699">
            <w:pPr>
              <w:spacing w:after="0" w:line="240" w:lineRule="auto"/>
              <w:jc w:val="right"/>
              <w:rPr>
                <w:rFonts w:ascii="Times New Roman" w:hAnsi="Times New Roman" w:cs="Times New Roman"/>
                <w:sz w:val="24"/>
                <w:szCs w:val="24"/>
                <w:lang w:eastAsia="ko-KR"/>
              </w:rPr>
            </w:pPr>
            <w:r w:rsidRPr="00824BC0">
              <w:rPr>
                <w:rFonts w:ascii="Times New Roman" w:hAnsi="Times New Roman" w:cs="Times New Roman"/>
                <w:sz w:val="24"/>
                <w:szCs w:val="24"/>
                <w:lang w:eastAsia="ko-KR"/>
              </w:rPr>
              <w:t xml:space="preserve">   1,110,641.78 </w:t>
            </w:r>
          </w:p>
        </w:tc>
      </w:tr>
      <w:tr w:rsidR="00F34699" w:rsidRPr="00824BC0" w14:paraId="7C30C44C" w14:textId="77777777" w:rsidTr="00742B6D">
        <w:trPr>
          <w:trHeight w:val="285"/>
          <w:jc w:val="center"/>
        </w:trPr>
        <w:tc>
          <w:tcPr>
            <w:tcW w:w="4680" w:type="dxa"/>
            <w:tcBorders>
              <w:top w:val="nil"/>
              <w:left w:val="nil"/>
              <w:bottom w:val="nil"/>
              <w:right w:val="nil"/>
            </w:tcBorders>
            <w:shd w:val="clear" w:color="auto" w:fill="auto"/>
            <w:noWrap/>
            <w:vAlign w:val="bottom"/>
            <w:hideMark/>
          </w:tcPr>
          <w:p w14:paraId="0E0762CC" w14:textId="77777777" w:rsidR="00F34699" w:rsidRPr="00824BC0" w:rsidRDefault="00F34699" w:rsidP="00F34699">
            <w:pPr>
              <w:spacing w:after="0" w:line="240" w:lineRule="auto"/>
              <w:jc w:val="both"/>
              <w:rPr>
                <w:rFonts w:ascii="Times New Roman" w:hAnsi="Times New Roman" w:cs="Times New Roman"/>
                <w:sz w:val="24"/>
                <w:szCs w:val="24"/>
                <w:lang w:eastAsia="ko-KR"/>
              </w:rPr>
            </w:pPr>
            <w:r w:rsidRPr="00824BC0">
              <w:rPr>
                <w:rFonts w:ascii="Times New Roman" w:hAnsi="Times New Roman" w:cs="Times New Roman"/>
                <w:sz w:val="24"/>
                <w:szCs w:val="24"/>
                <w:lang w:eastAsia="ko-KR"/>
              </w:rPr>
              <w:t>Other incorrectly recorded transactions</w:t>
            </w:r>
          </w:p>
        </w:tc>
        <w:tc>
          <w:tcPr>
            <w:tcW w:w="1836" w:type="dxa"/>
            <w:tcBorders>
              <w:top w:val="nil"/>
              <w:left w:val="nil"/>
              <w:right w:val="nil"/>
            </w:tcBorders>
            <w:shd w:val="clear" w:color="auto" w:fill="auto"/>
            <w:noWrap/>
            <w:vAlign w:val="bottom"/>
            <w:hideMark/>
          </w:tcPr>
          <w:p w14:paraId="4C65E5E1" w14:textId="77777777" w:rsidR="00F34699" w:rsidRPr="00824BC0" w:rsidRDefault="00F34699" w:rsidP="00F34699">
            <w:pPr>
              <w:spacing w:after="0" w:line="240" w:lineRule="auto"/>
              <w:jc w:val="right"/>
              <w:rPr>
                <w:rFonts w:ascii="Times New Roman" w:hAnsi="Times New Roman" w:cs="Times New Roman"/>
                <w:sz w:val="24"/>
                <w:szCs w:val="24"/>
                <w:u w:val="single"/>
                <w:lang w:eastAsia="ko-KR"/>
              </w:rPr>
            </w:pPr>
            <w:r w:rsidRPr="00824BC0">
              <w:rPr>
                <w:rFonts w:ascii="Times New Roman" w:hAnsi="Times New Roman" w:cs="Times New Roman"/>
                <w:sz w:val="24"/>
                <w:szCs w:val="24"/>
                <w:u w:val="single"/>
                <w:lang w:eastAsia="ko-KR"/>
              </w:rPr>
              <w:t xml:space="preserve">            3,900.10 </w:t>
            </w:r>
          </w:p>
        </w:tc>
      </w:tr>
      <w:tr w:rsidR="00F34699" w:rsidRPr="00824BC0" w14:paraId="76FEBD19" w14:textId="77777777" w:rsidTr="00742B6D">
        <w:trPr>
          <w:trHeight w:val="285"/>
          <w:jc w:val="center"/>
        </w:trPr>
        <w:tc>
          <w:tcPr>
            <w:tcW w:w="4680" w:type="dxa"/>
            <w:tcBorders>
              <w:top w:val="nil"/>
              <w:left w:val="nil"/>
              <w:bottom w:val="nil"/>
              <w:right w:val="nil"/>
            </w:tcBorders>
            <w:shd w:val="clear" w:color="auto" w:fill="auto"/>
            <w:noWrap/>
            <w:vAlign w:val="bottom"/>
            <w:hideMark/>
          </w:tcPr>
          <w:p w14:paraId="75E79676" w14:textId="77777777" w:rsidR="00F34699" w:rsidRPr="00824BC0" w:rsidRDefault="00F34699" w:rsidP="00F34699">
            <w:pPr>
              <w:spacing w:after="0" w:line="240" w:lineRule="auto"/>
              <w:jc w:val="both"/>
              <w:rPr>
                <w:rFonts w:ascii="Times New Roman" w:hAnsi="Times New Roman" w:cs="Times New Roman"/>
                <w:b/>
                <w:sz w:val="24"/>
                <w:szCs w:val="24"/>
                <w:lang w:eastAsia="ko-KR"/>
              </w:rPr>
            </w:pPr>
            <w:r w:rsidRPr="00824BC0">
              <w:rPr>
                <w:rFonts w:ascii="Times New Roman" w:hAnsi="Times New Roman" w:cs="Times New Roman"/>
                <w:b/>
                <w:sz w:val="24"/>
                <w:szCs w:val="24"/>
                <w:lang w:eastAsia="ko-KR"/>
              </w:rPr>
              <w:t>TOTAL</w:t>
            </w:r>
          </w:p>
        </w:tc>
        <w:tc>
          <w:tcPr>
            <w:tcW w:w="1836" w:type="dxa"/>
            <w:tcBorders>
              <w:left w:val="nil"/>
              <w:right w:val="nil"/>
            </w:tcBorders>
            <w:shd w:val="clear" w:color="auto" w:fill="auto"/>
            <w:noWrap/>
            <w:vAlign w:val="bottom"/>
            <w:hideMark/>
          </w:tcPr>
          <w:p w14:paraId="50841AA3" w14:textId="77777777" w:rsidR="00F34699" w:rsidRPr="00824BC0" w:rsidRDefault="00F34699" w:rsidP="00F34699">
            <w:pPr>
              <w:spacing w:after="0" w:line="240" w:lineRule="auto"/>
              <w:jc w:val="right"/>
              <w:rPr>
                <w:rFonts w:ascii="Times New Roman" w:hAnsi="Times New Roman" w:cs="Times New Roman"/>
                <w:b/>
                <w:sz w:val="24"/>
                <w:szCs w:val="24"/>
                <w:u w:val="double"/>
                <w:lang w:eastAsia="ko-KR"/>
              </w:rPr>
            </w:pPr>
            <w:r w:rsidRPr="00824BC0">
              <w:rPr>
                <w:rFonts w:ascii="Times New Roman" w:hAnsi="Times New Roman" w:cs="Times New Roman"/>
                <w:b/>
                <w:sz w:val="24"/>
                <w:szCs w:val="24"/>
                <w:u w:val="double"/>
                <w:lang w:eastAsia="ko-KR"/>
              </w:rPr>
              <w:t xml:space="preserve">₱ 50,647,752.58 </w:t>
            </w:r>
          </w:p>
        </w:tc>
      </w:tr>
    </w:tbl>
    <w:p w14:paraId="25A958C7" w14:textId="77777777" w:rsidR="00F34699" w:rsidRPr="00824BC0" w:rsidRDefault="00F34699" w:rsidP="00F34699">
      <w:pPr>
        <w:spacing w:after="0" w:line="240" w:lineRule="auto"/>
        <w:jc w:val="both"/>
        <w:rPr>
          <w:rFonts w:ascii="Times New Roman" w:hAnsi="Times New Roman" w:cs="Times New Roman"/>
          <w:b/>
          <w:bCs/>
          <w:sz w:val="24"/>
          <w:szCs w:val="24"/>
        </w:rPr>
      </w:pPr>
    </w:p>
    <w:p w14:paraId="6CBF84F6" w14:textId="2B1F322A" w:rsidR="00F34699" w:rsidRPr="00824BC0" w:rsidRDefault="00F34699" w:rsidP="00F34699">
      <w:pPr>
        <w:pStyle w:val="ListParagraph"/>
        <w:numPr>
          <w:ilvl w:val="1"/>
          <w:numId w:val="5"/>
        </w:numPr>
        <w:ind w:left="0" w:firstLine="0"/>
        <w:jc w:val="both"/>
        <w:rPr>
          <w:bCs/>
          <w:szCs w:val="24"/>
        </w:rPr>
      </w:pPr>
      <w:r w:rsidRPr="00824BC0">
        <w:rPr>
          <w:bCs/>
          <w:szCs w:val="24"/>
        </w:rPr>
        <w:t>As shown in Appendix D, analysis of the details of the account revealed that funds received from various agencies in the aggregate amount of ₱</w:t>
      </w:r>
      <w:r w:rsidRPr="00824BC0">
        <w:rPr>
          <w:szCs w:val="24"/>
          <w:lang w:val="en-PH" w:eastAsia="ko-KR"/>
        </w:rPr>
        <w:t>27,909,807.56</w:t>
      </w:r>
      <w:r w:rsidRPr="00824BC0">
        <w:rPr>
          <w:bCs/>
          <w:szCs w:val="24"/>
        </w:rPr>
        <w:t xml:space="preserve"> required no liquidation but were still recognized as Due to NGAs in the books of accounts.  Verification disclosed that these fund transfers were recognized as donations or financial assistance at </w:t>
      </w:r>
      <w:r w:rsidRPr="00824BC0">
        <w:rPr>
          <w:bCs/>
          <w:szCs w:val="24"/>
        </w:rPr>
        <w:lastRenderedPageBreak/>
        <w:t xml:space="preserve">the source agencies. Included in this amount was a one-time transfer of ₱25,000,000.00 from the Commission on Higher Education (CHED) for the College’s Smart Campus Development Fund. Details of our observations in this regard were discussed separately in </w:t>
      </w:r>
      <w:r w:rsidR="006D1EBC" w:rsidRPr="00824BC0">
        <w:rPr>
          <w:bCs/>
          <w:szCs w:val="24"/>
        </w:rPr>
        <w:t xml:space="preserve">Observation No. </w:t>
      </w:r>
      <w:r w:rsidR="0030522D" w:rsidRPr="00824BC0">
        <w:rPr>
          <w:bCs/>
          <w:szCs w:val="24"/>
        </w:rPr>
        <w:t>3</w:t>
      </w:r>
      <w:r w:rsidR="00880F38">
        <w:rPr>
          <w:bCs/>
          <w:szCs w:val="24"/>
        </w:rPr>
        <w:t xml:space="preserve"> </w:t>
      </w:r>
      <w:r w:rsidR="006D1EBC" w:rsidRPr="00824BC0">
        <w:rPr>
          <w:bCs/>
          <w:szCs w:val="24"/>
        </w:rPr>
        <w:t>of this report</w:t>
      </w:r>
      <w:r w:rsidRPr="00824BC0">
        <w:rPr>
          <w:bCs/>
          <w:szCs w:val="24"/>
        </w:rPr>
        <w:t>.</w:t>
      </w:r>
    </w:p>
    <w:p w14:paraId="0A5CB3D4" w14:textId="77777777" w:rsidR="00F34699" w:rsidRPr="00824BC0" w:rsidRDefault="00F34699" w:rsidP="00F34699">
      <w:pPr>
        <w:spacing w:after="0" w:line="240" w:lineRule="auto"/>
        <w:ind w:firstLine="720"/>
        <w:jc w:val="both"/>
        <w:rPr>
          <w:rFonts w:ascii="Times New Roman" w:hAnsi="Times New Roman" w:cs="Times New Roman"/>
          <w:bCs/>
          <w:sz w:val="24"/>
          <w:szCs w:val="24"/>
          <w:lang w:val="en-US"/>
        </w:rPr>
      </w:pPr>
    </w:p>
    <w:p w14:paraId="216B7335" w14:textId="6805638E" w:rsidR="00F34699" w:rsidRPr="00824BC0" w:rsidRDefault="00F34699" w:rsidP="00F34699">
      <w:pPr>
        <w:pStyle w:val="ListParagraph"/>
        <w:numPr>
          <w:ilvl w:val="1"/>
          <w:numId w:val="5"/>
        </w:numPr>
        <w:ind w:left="0" w:firstLine="0"/>
        <w:jc w:val="both"/>
        <w:rPr>
          <w:bCs/>
          <w:szCs w:val="24"/>
        </w:rPr>
      </w:pPr>
      <w:r w:rsidRPr="00824BC0">
        <w:rPr>
          <w:bCs/>
          <w:szCs w:val="24"/>
        </w:rPr>
        <w:t xml:space="preserve">In addition, a total of ₱1,110,641.78 pertained to loans given to farmer beneficiaries which were immediately liquidated at the source agencies upon release of funds. As such, the </w:t>
      </w:r>
      <w:r w:rsidR="006D1EBC" w:rsidRPr="00824BC0">
        <w:rPr>
          <w:bCs/>
          <w:szCs w:val="24"/>
        </w:rPr>
        <w:t xml:space="preserve">amounts </w:t>
      </w:r>
      <w:r w:rsidRPr="00824BC0">
        <w:rPr>
          <w:bCs/>
          <w:szCs w:val="24"/>
        </w:rPr>
        <w:t xml:space="preserve">should have been derecognized </w:t>
      </w:r>
      <w:r w:rsidR="006D1EBC" w:rsidRPr="00824BC0">
        <w:rPr>
          <w:bCs/>
          <w:szCs w:val="24"/>
        </w:rPr>
        <w:t xml:space="preserve">from the Due to NGAs account </w:t>
      </w:r>
      <w:r w:rsidRPr="00824BC0">
        <w:rPr>
          <w:bCs/>
          <w:szCs w:val="24"/>
        </w:rPr>
        <w:t xml:space="preserve">in the books of BASC. </w:t>
      </w:r>
    </w:p>
    <w:p w14:paraId="322F6BA8" w14:textId="77777777" w:rsidR="00F34699" w:rsidRPr="00824BC0" w:rsidRDefault="00F34699" w:rsidP="00F34699">
      <w:pPr>
        <w:spacing w:after="0" w:line="240" w:lineRule="auto"/>
        <w:ind w:firstLine="720"/>
        <w:jc w:val="both"/>
        <w:rPr>
          <w:rFonts w:ascii="Times New Roman" w:hAnsi="Times New Roman" w:cs="Times New Roman"/>
          <w:bCs/>
          <w:sz w:val="24"/>
          <w:szCs w:val="24"/>
        </w:rPr>
      </w:pPr>
    </w:p>
    <w:p w14:paraId="6041D6BC" w14:textId="77777777" w:rsidR="00F34699" w:rsidRPr="00824BC0" w:rsidRDefault="00F34699" w:rsidP="00F34699">
      <w:pPr>
        <w:pStyle w:val="ListParagraph"/>
        <w:numPr>
          <w:ilvl w:val="1"/>
          <w:numId w:val="5"/>
        </w:numPr>
        <w:ind w:left="0" w:firstLine="0"/>
        <w:jc w:val="both"/>
        <w:rPr>
          <w:bCs/>
          <w:szCs w:val="24"/>
        </w:rPr>
      </w:pPr>
      <w:r w:rsidRPr="00824BC0">
        <w:rPr>
          <w:bCs/>
          <w:szCs w:val="24"/>
        </w:rPr>
        <w:t xml:space="preserve">Lastly, the following transactions with a net amount of ₱3,900.10 were booked up in the Due to NGAs account instead of their respective proper accounts, viz: </w:t>
      </w:r>
    </w:p>
    <w:p w14:paraId="58D7C7CE" w14:textId="77777777" w:rsidR="00F34699" w:rsidRPr="00824BC0" w:rsidRDefault="00F34699" w:rsidP="00F34699">
      <w:pPr>
        <w:spacing w:after="0" w:line="240" w:lineRule="auto"/>
        <w:ind w:firstLine="720"/>
        <w:jc w:val="both"/>
        <w:rPr>
          <w:rFonts w:ascii="Times New Roman" w:hAnsi="Times New Roman" w:cs="Times New Roman"/>
          <w:bCs/>
          <w:sz w:val="24"/>
          <w:szCs w:val="24"/>
        </w:rPr>
      </w:pP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20"/>
        <w:gridCol w:w="2430"/>
      </w:tblGrid>
      <w:tr w:rsidR="00F34699" w:rsidRPr="00824BC0" w14:paraId="1B0EBD5B" w14:textId="77777777" w:rsidTr="00742B6D">
        <w:tc>
          <w:tcPr>
            <w:tcW w:w="2790" w:type="dxa"/>
          </w:tcPr>
          <w:p w14:paraId="69191E0C" w14:textId="77777777" w:rsidR="00F34699" w:rsidRPr="00824BC0" w:rsidRDefault="00F34699" w:rsidP="006D1EBC">
            <w:pPr>
              <w:jc w:val="center"/>
              <w:rPr>
                <w:rFonts w:ascii="Times New Roman" w:hAnsi="Times New Roman" w:cs="Times New Roman"/>
                <w:bCs/>
                <w:i/>
                <w:sz w:val="24"/>
                <w:szCs w:val="24"/>
                <w:u w:val="single"/>
              </w:rPr>
            </w:pPr>
            <w:r w:rsidRPr="00824BC0">
              <w:rPr>
                <w:rFonts w:ascii="Times New Roman" w:hAnsi="Times New Roman" w:cs="Times New Roman"/>
                <w:bCs/>
                <w:i/>
                <w:sz w:val="24"/>
                <w:szCs w:val="24"/>
                <w:u w:val="single"/>
              </w:rPr>
              <w:t>Particulars</w:t>
            </w:r>
          </w:p>
        </w:tc>
        <w:tc>
          <w:tcPr>
            <w:tcW w:w="1620" w:type="dxa"/>
          </w:tcPr>
          <w:p w14:paraId="03A2A800" w14:textId="77777777" w:rsidR="00F34699" w:rsidRPr="00824BC0" w:rsidRDefault="00F34699" w:rsidP="006D1EBC">
            <w:pPr>
              <w:jc w:val="center"/>
              <w:rPr>
                <w:rFonts w:ascii="Times New Roman" w:hAnsi="Times New Roman" w:cs="Times New Roman"/>
                <w:bCs/>
                <w:i/>
                <w:sz w:val="24"/>
                <w:szCs w:val="24"/>
                <w:u w:val="single"/>
              </w:rPr>
            </w:pPr>
            <w:r w:rsidRPr="00824BC0">
              <w:rPr>
                <w:rFonts w:ascii="Times New Roman" w:hAnsi="Times New Roman" w:cs="Times New Roman"/>
                <w:bCs/>
                <w:i/>
                <w:sz w:val="24"/>
                <w:szCs w:val="24"/>
                <w:u w:val="single"/>
              </w:rPr>
              <w:t>Amount</w:t>
            </w:r>
          </w:p>
        </w:tc>
        <w:tc>
          <w:tcPr>
            <w:tcW w:w="2430" w:type="dxa"/>
          </w:tcPr>
          <w:p w14:paraId="1213C239" w14:textId="77777777" w:rsidR="00F34699" w:rsidRPr="00824BC0" w:rsidRDefault="00F34699" w:rsidP="006D1EBC">
            <w:pPr>
              <w:jc w:val="center"/>
              <w:rPr>
                <w:rFonts w:ascii="Times New Roman" w:hAnsi="Times New Roman" w:cs="Times New Roman"/>
                <w:bCs/>
                <w:i/>
                <w:sz w:val="24"/>
                <w:szCs w:val="24"/>
                <w:u w:val="single"/>
              </w:rPr>
            </w:pPr>
            <w:r w:rsidRPr="00824BC0">
              <w:rPr>
                <w:rFonts w:ascii="Times New Roman" w:hAnsi="Times New Roman" w:cs="Times New Roman"/>
                <w:bCs/>
                <w:i/>
                <w:sz w:val="24"/>
                <w:szCs w:val="24"/>
                <w:u w:val="single"/>
              </w:rPr>
              <w:t>Correct Account</w:t>
            </w:r>
          </w:p>
        </w:tc>
      </w:tr>
      <w:tr w:rsidR="00F34699" w:rsidRPr="00824BC0" w14:paraId="722DA287" w14:textId="77777777" w:rsidTr="00742B6D">
        <w:tc>
          <w:tcPr>
            <w:tcW w:w="2790" w:type="dxa"/>
          </w:tcPr>
          <w:p w14:paraId="1F830BD3" w14:textId="77777777" w:rsidR="00F34699" w:rsidRPr="00824BC0" w:rsidRDefault="00F34699" w:rsidP="00F34699">
            <w:pPr>
              <w:jc w:val="both"/>
              <w:rPr>
                <w:rFonts w:ascii="Times New Roman" w:hAnsi="Times New Roman" w:cs="Times New Roman"/>
                <w:bCs/>
                <w:sz w:val="24"/>
                <w:szCs w:val="24"/>
              </w:rPr>
            </w:pPr>
            <w:r w:rsidRPr="00824BC0">
              <w:rPr>
                <w:rFonts w:ascii="Times New Roman" w:hAnsi="Times New Roman" w:cs="Times New Roman"/>
                <w:bCs/>
                <w:sz w:val="24"/>
                <w:szCs w:val="24"/>
              </w:rPr>
              <w:t>Income from seminar fees</w:t>
            </w:r>
          </w:p>
        </w:tc>
        <w:tc>
          <w:tcPr>
            <w:tcW w:w="1620" w:type="dxa"/>
          </w:tcPr>
          <w:p w14:paraId="0169673C" w14:textId="77777777" w:rsidR="00F34699" w:rsidRPr="00824BC0" w:rsidRDefault="00F34699" w:rsidP="006D1EBC">
            <w:pPr>
              <w:jc w:val="right"/>
              <w:rPr>
                <w:rFonts w:ascii="Times New Roman" w:hAnsi="Times New Roman" w:cs="Times New Roman"/>
                <w:bCs/>
                <w:sz w:val="24"/>
                <w:szCs w:val="24"/>
              </w:rPr>
            </w:pPr>
            <w:r w:rsidRPr="00824BC0">
              <w:rPr>
                <w:rFonts w:ascii="Times New Roman" w:hAnsi="Times New Roman" w:cs="Times New Roman"/>
                <w:bCs/>
                <w:sz w:val="24"/>
                <w:szCs w:val="24"/>
              </w:rPr>
              <w:t>₱ 5,400.10</w:t>
            </w:r>
          </w:p>
        </w:tc>
        <w:tc>
          <w:tcPr>
            <w:tcW w:w="2430" w:type="dxa"/>
          </w:tcPr>
          <w:p w14:paraId="43AA2A82" w14:textId="77777777" w:rsidR="00F34699" w:rsidRPr="00824BC0" w:rsidRDefault="00F34699" w:rsidP="00F34699">
            <w:pPr>
              <w:jc w:val="both"/>
              <w:rPr>
                <w:rFonts w:ascii="Times New Roman" w:hAnsi="Times New Roman" w:cs="Times New Roman"/>
                <w:bCs/>
                <w:sz w:val="24"/>
                <w:szCs w:val="24"/>
              </w:rPr>
            </w:pPr>
            <w:r w:rsidRPr="00824BC0">
              <w:rPr>
                <w:rFonts w:ascii="Times New Roman" w:hAnsi="Times New Roman" w:cs="Times New Roman"/>
                <w:bCs/>
                <w:sz w:val="24"/>
                <w:szCs w:val="24"/>
              </w:rPr>
              <w:t>Miscellaneous Income</w:t>
            </w:r>
          </w:p>
        </w:tc>
      </w:tr>
      <w:tr w:rsidR="00F34699" w:rsidRPr="00824BC0" w14:paraId="20B1210F" w14:textId="77777777" w:rsidTr="00742B6D">
        <w:tc>
          <w:tcPr>
            <w:tcW w:w="2790" w:type="dxa"/>
          </w:tcPr>
          <w:p w14:paraId="5BC11086" w14:textId="77777777" w:rsidR="00F34699" w:rsidRPr="00824BC0" w:rsidRDefault="00F34699" w:rsidP="00F34699">
            <w:pPr>
              <w:jc w:val="both"/>
              <w:rPr>
                <w:rFonts w:ascii="Times New Roman" w:hAnsi="Times New Roman" w:cs="Times New Roman"/>
                <w:bCs/>
                <w:sz w:val="24"/>
                <w:szCs w:val="24"/>
              </w:rPr>
            </w:pPr>
            <w:r w:rsidRPr="00824BC0">
              <w:rPr>
                <w:rFonts w:ascii="Times New Roman" w:hAnsi="Times New Roman" w:cs="Times New Roman"/>
                <w:bCs/>
                <w:sz w:val="24"/>
                <w:szCs w:val="24"/>
              </w:rPr>
              <w:t>Bid documents</w:t>
            </w:r>
          </w:p>
        </w:tc>
        <w:tc>
          <w:tcPr>
            <w:tcW w:w="1620" w:type="dxa"/>
          </w:tcPr>
          <w:p w14:paraId="18A3CBB5" w14:textId="77777777" w:rsidR="00F34699" w:rsidRPr="00824BC0" w:rsidRDefault="00F34699" w:rsidP="006D1EBC">
            <w:pPr>
              <w:ind w:right="-111"/>
              <w:jc w:val="right"/>
              <w:rPr>
                <w:rFonts w:ascii="Times New Roman" w:hAnsi="Times New Roman" w:cs="Times New Roman"/>
                <w:bCs/>
                <w:sz w:val="24"/>
                <w:szCs w:val="24"/>
                <w:u w:val="single"/>
              </w:rPr>
            </w:pPr>
            <w:r w:rsidRPr="00824BC0">
              <w:rPr>
                <w:rFonts w:ascii="Times New Roman" w:hAnsi="Times New Roman" w:cs="Times New Roman"/>
                <w:bCs/>
                <w:sz w:val="24"/>
                <w:szCs w:val="24"/>
                <w:u w:val="single"/>
              </w:rPr>
              <w:t>(   1,500.00)</w:t>
            </w:r>
          </w:p>
        </w:tc>
        <w:tc>
          <w:tcPr>
            <w:tcW w:w="2430" w:type="dxa"/>
          </w:tcPr>
          <w:p w14:paraId="5ECAAF3A" w14:textId="77777777" w:rsidR="00F34699" w:rsidRPr="00824BC0" w:rsidRDefault="00F34699" w:rsidP="00F34699">
            <w:pPr>
              <w:jc w:val="both"/>
              <w:rPr>
                <w:rFonts w:ascii="Times New Roman" w:hAnsi="Times New Roman" w:cs="Times New Roman"/>
                <w:bCs/>
                <w:sz w:val="24"/>
                <w:szCs w:val="24"/>
              </w:rPr>
            </w:pPr>
            <w:r w:rsidRPr="00824BC0">
              <w:rPr>
                <w:rFonts w:ascii="Times New Roman" w:hAnsi="Times New Roman" w:cs="Times New Roman"/>
                <w:bCs/>
                <w:sz w:val="24"/>
                <w:szCs w:val="24"/>
              </w:rPr>
              <w:t>Other Payables</w:t>
            </w:r>
          </w:p>
        </w:tc>
      </w:tr>
      <w:tr w:rsidR="00F34699" w:rsidRPr="00824BC0" w14:paraId="33F9CE6B" w14:textId="77777777" w:rsidTr="00742B6D">
        <w:tc>
          <w:tcPr>
            <w:tcW w:w="2790" w:type="dxa"/>
          </w:tcPr>
          <w:p w14:paraId="464DFFE2" w14:textId="77777777" w:rsidR="00F34699" w:rsidRPr="00824BC0" w:rsidRDefault="00F34699" w:rsidP="00F34699">
            <w:pPr>
              <w:jc w:val="both"/>
              <w:rPr>
                <w:rFonts w:ascii="Times New Roman" w:hAnsi="Times New Roman" w:cs="Times New Roman"/>
                <w:b/>
                <w:bCs/>
                <w:sz w:val="24"/>
                <w:szCs w:val="24"/>
              </w:rPr>
            </w:pPr>
            <w:r w:rsidRPr="00824BC0">
              <w:rPr>
                <w:rFonts w:ascii="Times New Roman" w:hAnsi="Times New Roman" w:cs="Times New Roman"/>
                <w:b/>
                <w:bCs/>
                <w:sz w:val="24"/>
                <w:szCs w:val="24"/>
              </w:rPr>
              <w:t>Total</w:t>
            </w:r>
          </w:p>
        </w:tc>
        <w:tc>
          <w:tcPr>
            <w:tcW w:w="1620" w:type="dxa"/>
          </w:tcPr>
          <w:p w14:paraId="395E6D39" w14:textId="77777777" w:rsidR="00F34699" w:rsidRPr="00824BC0" w:rsidRDefault="00F34699" w:rsidP="006D1EBC">
            <w:pPr>
              <w:jc w:val="right"/>
              <w:rPr>
                <w:rFonts w:ascii="Times New Roman" w:hAnsi="Times New Roman" w:cs="Times New Roman"/>
                <w:b/>
                <w:bCs/>
                <w:sz w:val="24"/>
                <w:szCs w:val="24"/>
              </w:rPr>
            </w:pPr>
            <w:r w:rsidRPr="00824BC0">
              <w:rPr>
                <w:rFonts w:ascii="Times New Roman" w:hAnsi="Times New Roman" w:cs="Times New Roman"/>
                <w:b/>
                <w:bCs/>
                <w:sz w:val="24"/>
                <w:szCs w:val="24"/>
                <w:u w:val="double"/>
              </w:rPr>
              <w:t>₱ 3,900.10</w:t>
            </w:r>
          </w:p>
        </w:tc>
        <w:tc>
          <w:tcPr>
            <w:tcW w:w="2430" w:type="dxa"/>
          </w:tcPr>
          <w:p w14:paraId="769101AA" w14:textId="77777777" w:rsidR="00F34699" w:rsidRPr="00824BC0" w:rsidRDefault="00F34699" w:rsidP="00F34699">
            <w:pPr>
              <w:jc w:val="both"/>
              <w:rPr>
                <w:rFonts w:ascii="Times New Roman" w:hAnsi="Times New Roman" w:cs="Times New Roman"/>
                <w:b/>
                <w:bCs/>
                <w:sz w:val="24"/>
                <w:szCs w:val="24"/>
              </w:rPr>
            </w:pPr>
          </w:p>
        </w:tc>
      </w:tr>
    </w:tbl>
    <w:p w14:paraId="1170BBDC" w14:textId="77777777" w:rsidR="00F34699" w:rsidRPr="00824BC0" w:rsidRDefault="00F34699" w:rsidP="00F34699">
      <w:pPr>
        <w:spacing w:after="0" w:line="240" w:lineRule="auto"/>
        <w:ind w:firstLine="720"/>
        <w:jc w:val="both"/>
        <w:rPr>
          <w:rFonts w:ascii="Times New Roman" w:hAnsi="Times New Roman" w:cs="Times New Roman"/>
          <w:bCs/>
          <w:sz w:val="24"/>
          <w:szCs w:val="24"/>
        </w:rPr>
      </w:pPr>
    </w:p>
    <w:p w14:paraId="2CE3AA5C" w14:textId="77777777" w:rsidR="00F34699" w:rsidRPr="00824BC0" w:rsidRDefault="00F34699" w:rsidP="00F34699">
      <w:pPr>
        <w:pStyle w:val="ListParagraph"/>
        <w:numPr>
          <w:ilvl w:val="1"/>
          <w:numId w:val="5"/>
        </w:numPr>
        <w:ind w:left="0" w:firstLine="0"/>
        <w:jc w:val="both"/>
        <w:rPr>
          <w:bCs/>
          <w:szCs w:val="24"/>
        </w:rPr>
      </w:pPr>
      <w:r w:rsidRPr="00824BC0">
        <w:rPr>
          <w:bCs/>
          <w:szCs w:val="24"/>
        </w:rPr>
        <w:t>Overall, the erroneous recognition of the foregoing transactions overstated the Due to NGAs recorded balance by ₱29,024,349.44 as of December 31, 2021.</w:t>
      </w:r>
    </w:p>
    <w:p w14:paraId="39620F9F" w14:textId="77777777" w:rsidR="00D4597D" w:rsidRPr="00824BC0" w:rsidRDefault="00D4597D" w:rsidP="00F34699">
      <w:pPr>
        <w:spacing w:after="0" w:line="240" w:lineRule="auto"/>
        <w:jc w:val="both"/>
        <w:rPr>
          <w:rFonts w:ascii="Times New Roman" w:hAnsi="Times New Roman" w:cs="Times New Roman"/>
          <w:b/>
          <w:bCs/>
          <w:i/>
          <w:iCs/>
          <w:sz w:val="24"/>
          <w:szCs w:val="24"/>
        </w:rPr>
      </w:pPr>
    </w:p>
    <w:p w14:paraId="0E362FAD" w14:textId="77777777" w:rsidR="00F34699" w:rsidRPr="00824BC0" w:rsidRDefault="00F34699" w:rsidP="00F34699">
      <w:pPr>
        <w:pStyle w:val="ListParagraph"/>
        <w:numPr>
          <w:ilvl w:val="0"/>
          <w:numId w:val="7"/>
        </w:numPr>
        <w:jc w:val="both"/>
        <w:rPr>
          <w:bCs/>
          <w:i/>
          <w:szCs w:val="24"/>
        </w:rPr>
      </w:pPr>
      <w:r w:rsidRPr="00824BC0">
        <w:rPr>
          <w:bCs/>
          <w:i/>
          <w:szCs w:val="24"/>
        </w:rPr>
        <w:t>Unexpended balances of completed projects - ₱</w:t>
      </w:r>
      <w:r w:rsidRPr="00824BC0">
        <w:rPr>
          <w:i/>
          <w:szCs w:val="24"/>
          <w:lang w:val="en-PH" w:eastAsia="ko-KR"/>
        </w:rPr>
        <w:t>427,369.08</w:t>
      </w:r>
    </w:p>
    <w:p w14:paraId="4FCFAAC8" w14:textId="77777777" w:rsidR="00F34699" w:rsidRPr="00824BC0" w:rsidRDefault="00F34699" w:rsidP="00F34699">
      <w:pPr>
        <w:pStyle w:val="ListParagraph"/>
        <w:ind w:left="1080"/>
        <w:jc w:val="both"/>
        <w:rPr>
          <w:bCs/>
          <w:szCs w:val="24"/>
        </w:rPr>
      </w:pPr>
    </w:p>
    <w:p w14:paraId="6CD79791" w14:textId="3FA5720B" w:rsidR="00F34699" w:rsidRPr="00824BC0" w:rsidRDefault="00F34699" w:rsidP="00F34699">
      <w:pPr>
        <w:pStyle w:val="ListParagraph"/>
        <w:numPr>
          <w:ilvl w:val="1"/>
          <w:numId w:val="5"/>
        </w:numPr>
        <w:ind w:left="0" w:firstLine="0"/>
        <w:jc w:val="both"/>
        <w:rPr>
          <w:szCs w:val="24"/>
          <w:lang w:val="en-PH" w:eastAsia="ko-KR"/>
        </w:rPr>
      </w:pPr>
      <w:r w:rsidRPr="00824BC0">
        <w:rPr>
          <w:bCs/>
          <w:szCs w:val="24"/>
        </w:rPr>
        <w:t>Further scrutiny of the account revealed that a total of ₱</w:t>
      </w:r>
      <w:r w:rsidRPr="00824BC0">
        <w:rPr>
          <w:szCs w:val="24"/>
          <w:lang w:val="en-PH" w:eastAsia="ko-KR"/>
        </w:rPr>
        <w:t xml:space="preserve">427,369.08 referred to unexpended balances of projects which were already completed as of December 31, 2021 but </w:t>
      </w:r>
      <w:r w:rsidR="006D1EBC" w:rsidRPr="00824BC0">
        <w:rPr>
          <w:szCs w:val="24"/>
          <w:lang w:val="en-PH" w:eastAsia="ko-KR"/>
        </w:rPr>
        <w:t xml:space="preserve">were </w:t>
      </w:r>
      <w:r w:rsidRPr="00824BC0">
        <w:rPr>
          <w:szCs w:val="24"/>
          <w:lang w:val="en-PH" w:eastAsia="ko-KR"/>
        </w:rPr>
        <w:t xml:space="preserve">not yet liquidated and duly returned to their source agencies or the Bureau of </w:t>
      </w:r>
      <w:r w:rsidR="00CA43B0" w:rsidRPr="00824BC0">
        <w:rPr>
          <w:szCs w:val="24"/>
          <w:lang w:val="en-PH" w:eastAsia="ko-KR"/>
        </w:rPr>
        <w:t xml:space="preserve">the </w:t>
      </w:r>
      <w:r w:rsidRPr="00824BC0">
        <w:rPr>
          <w:szCs w:val="24"/>
          <w:lang w:val="en-PH" w:eastAsia="ko-KR"/>
        </w:rPr>
        <w:t>Treasury (BT</w:t>
      </w:r>
      <w:r w:rsidR="00CA43B0" w:rsidRPr="00824BC0">
        <w:rPr>
          <w:szCs w:val="24"/>
          <w:lang w:val="en-PH" w:eastAsia="ko-KR"/>
        </w:rPr>
        <w:t>r</w:t>
      </w:r>
      <w:r w:rsidRPr="00824BC0">
        <w:rPr>
          <w:szCs w:val="24"/>
          <w:lang w:val="en-PH" w:eastAsia="ko-KR"/>
        </w:rPr>
        <w:t>).  Of this amount, ₱423,271.21 pertained to projects which were completed prior to CY 2021 and formed part of the account’s beginning balance.</w:t>
      </w:r>
    </w:p>
    <w:p w14:paraId="25DE7882" w14:textId="77777777" w:rsidR="00F34699" w:rsidRPr="00824BC0" w:rsidRDefault="00F34699" w:rsidP="00F34699">
      <w:pPr>
        <w:spacing w:after="0" w:line="240" w:lineRule="auto"/>
        <w:jc w:val="both"/>
        <w:rPr>
          <w:rFonts w:ascii="Times New Roman" w:hAnsi="Times New Roman" w:cs="Times New Roman"/>
          <w:sz w:val="24"/>
          <w:szCs w:val="24"/>
          <w:lang w:eastAsia="ko-KR"/>
        </w:rPr>
      </w:pPr>
    </w:p>
    <w:p w14:paraId="62C1DD2E" w14:textId="16F36687" w:rsidR="00F34699" w:rsidRPr="00824BC0" w:rsidRDefault="00F34699" w:rsidP="00F34699">
      <w:pPr>
        <w:pStyle w:val="ListParagraph"/>
        <w:numPr>
          <w:ilvl w:val="1"/>
          <w:numId w:val="5"/>
        </w:numPr>
        <w:ind w:left="0" w:firstLine="0"/>
        <w:jc w:val="both"/>
        <w:rPr>
          <w:i/>
          <w:szCs w:val="24"/>
          <w:lang w:val="en-PH" w:eastAsia="ko-KR"/>
        </w:rPr>
      </w:pPr>
      <w:r w:rsidRPr="00824BC0">
        <w:rPr>
          <w:szCs w:val="24"/>
          <w:lang w:val="en-PH" w:eastAsia="ko-KR"/>
        </w:rPr>
        <w:t>The failure to liquidate/return the unexpended funds to the source agencies or the BT</w:t>
      </w:r>
      <w:r w:rsidR="00BA575D">
        <w:rPr>
          <w:szCs w:val="24"/>
          <w:lang w:val="en-PH" w:eastAsia="ko-KR"/>
        </w:rPr>
        <w:t>r</w:t>
      </w:r>
      <w:r w:rsidR="006D1EBC" w:rsidRPr="00824BC0">
        <w:rPr>
          <w:szCs w:val="24"/>
          <w:lang w:val="en-PH" w:eastAsia="ko-KR"/>
        </w:rPr>
        <w:t>,</w:t>
      </w:r>
      <w:r w:rsidRPr="00824BC0">
        <w:rPr>
          <w:szCs w:val="24"/>
          <w:lang w:val="en-PH" w:eastAsia="ko-KR"/>
        </w:rPr>
        <w:t xml:space="preserve"> as the case may be</w:t>
      </w:r>
      <w:r w:rsidR="006D1EBC" w:rsidRPr="00824BC0">
        <w:rPr>
          <w:szCs w:val="24"/>
          <w:lang w:val="en-PH" w:eastAsia="ko-KR"/>
        </w:rPr>
        <w:t>,</w:t>
      </w:r>
      <w:r w:rsidRPr="00824BC0">
        <w:rPr>
          <w:szCs w:val="24"/>
          <w:lang w:val="en-PH" w:eastAsia="ko-KR"/>
        </w:rPr>
        <w:t xml:space="preserve"> is contrary to Section 4.9 of COA Circular No. 94-013 dated December 13, 1994 which requires that, </w:t>
      </w:r>
      <w:r w:rsidRPr="00824BC0">
        <w:rPr>
          <w:i/>
          <w:szCs w:val="24"/>
          <w:lang w:val="en-PH" w:eastAsia="ko-KR"/>
        </w:rPr>
        <w:t>the Implementing Agency shall return to the source agency any unused balance upon completion of the project.</w:t>
      </w:r>
    </w:p>
    <w:p w14:paraId="424F1244" w14:textId="77777777" w:rsidR="00F34699" w:rsidRPr="00824BC0" w:rsidRDefault="00F34699" w:rsidP="00F34699">
      <w:pPr>
        <w:spacing w:after="0" w:line="240" w:lineRule="auto"/>
        <w:jc w:val="both"/>
        <w:rPr>
          <w:rFonts w:ascii="Times New Roman" w:hAnsi="Times New Roman" w:cs="Times New Roman"/>
          <w:bCs/>
          <w:sz w:val="24"/>
          <w:szCs w:val="24"/>
        </w:rPr>
      </w:pPr>
    </w:p>
    <w:p w14:paraId="6E7C8B66" w14:textId="1EB8FFE7" w:rsidR="00F34699" w:rsidRPr="00824BC0" w:rsidRDefault="00F34699" w:rsidP="00F34699">
      <w:pPr>
        <w:pStyle w:val="ListParagraph"/>
        <w:numPr>
          <w:ilvl w:val="1"/>
          <w:numId w:val="5"/>
        </w:numPr>
        <w:ind w:left="0" w:firstLine="0"/>
        <w:jc w:val="both"/>
        <w:rPr>
          <w:bCs/>
          <w:szCs w:val="24"/>
        </w:rPr>
      </w:pPr>
      <w:r w:rsidRPr="00824BC0">
        <w:rPr>
          <w:bCs/>
          <w:szCs w:val="24"/>
        </w:rPr>
        <w:t xml:space="preserve">It is worth mentioning, though, that the unreturned/unliquidated amount was significantly reduced by ₱273,941.78 from ₱697,212.99 in CY 2020 to </w:t>
      </w:r>
      <w:r w:rsidRPr="00824BC0">
        <w:rPr>
          <w:szCs w:val="24"/>
          <w:lang w:val="en-PH" w:eastAsia="ko-KR"/>
        </w:rPr>
        <w:t>₱423,271.21 in CY 2021</w:t>
      </w:r>
      <w:r w:rsidRPr="00824BC0">
        <w:rPr>
          <w:bCs/>
          <w:szCs w:val="24"/>
        </w:rPr>
        <w:t>.</w:t>
      </w:r>
    </w:p>
    <w:p w14:paraId="3AFCB9F2" w14:textId="77777777" w:rsidR="00F34699" w:rsidRPr="00824BC0" w:rsidRDefault="00F34699" w:rsidP="00F34699">
      <w:pPr>
        <w:spacing w:after="0" w:line="240" w:lineRule="auto"/>
        <w:jc w:val="both"/>
        <w:rPr>
          <w:rFonts w:ascii="Times New Roman" w:hAnsi="Times New Roman" w:cs="Times New Roman"/>
          <w:b/>
          <w:bCs/>
          <w:sz w:val="24"/>
          <w:szCs w:val="24"/>
        </w:rPr>
      </w:pPr>
    </w:p>
    <w:p w14:paraId="265F4A8B" w14:textId="08BFB70C" w:rsidR="001F7655" w:rsidRPr="00824BC0" w:rsidRDefault="00F34699" w:rsidP="00F34699">
      <w:pPr>
        <w:pStyle w:val="ListParagraph"/>
        <w:numPr>
          <w:ilvl w:val="1"/>
          <w:numId w:val="5"/>
        </w:numPr>
        <w:ind w:left="0" w:firstLine="0"/>
        <w:jc w:val="both"/>
        <w:rPr>
          <w:szCs w:val="24"/>
        </w:rPr>
      </w:pPr>
      <w:r w:rsidRPr="00824BC0">
        <w:rPr>
          <w:b/>
          <w:bCs/>
          <w:szCs w:val="24"/>
        </w:rPr>
        <w:t>We recommend</w:t>
      </w:r>
      <w:r w:rsidR="006D1EBC" w:rsidRPr="00824BC0">
        <w:rPr>
          <w:b/>
          <w:bCs/>
          <w:szCs w:val="24"/>
        </w:rPr>
        <w:t>ed</w:t>
      </w:r>
      <w:r w:rsidRPr="00824BC0">
        <w:rPr>
          <w:b/>
          <w:bCs/>
          <w:szCs w:val="24"/>
        </w:rPr>
        <w:t xml:space="preserve"> </w:t>
      </w:r>
      <w:r w:rsidR="006D1EBC" w:rsidRPr="00824BC0">
        <w:rPr>
          <w:b/>
          <w:bCs/>
          <w:szCs w:val="24"/>
        </w:rPr>
        <w:t>and</w:t>
      </w:r>
      <w:r w:rsidRPr="00824BC0">
        <w:rPr>
          <w:b/>
          <w:bCs/>
          <w:szCs w:val="24"/>
        </w:rPr>
        <w:t xml:space="preserve"> Management </w:t>
      </w:r>
      <w:r w:rsidR="00CA43B0" w:rsidRPr="00824BC0">
        <w:rPr>
          <w:b/>
          <w:bCs/>
          <w:szCs w:val="24"/>
        </w:rPr>
        <w:t>agreed</w:t>
      </w:r>
      <w:r w:rsidR="006D1EBC" w:rsidRPr="00824BC0">
        <w:rPr>
          <w:b/>
          <w:bCs/>
          <w:szCs w:val="24"/>
        </w:rPr>
        <w:t xml:space="preserve"> to </w:t>
      </w:r>
      <w:r w:rsidRPr="00824BC0">
        <w:rPr>
          <w:b/>
          <w:bCs/>
          <w:szCs w:val="24"/>
        </w:rPr>
        <w:t xml:space="preserve">(a) direct the Accountant to draw a Journal Entry Voucher (JEV) reclassifying the amount of ₱29,024,349.44 to the proper accounts and derecognizing </w:t>
      </w:r>
      <w:r w:rsidR="0011258A">
        <w:rPr>
          <w:b/>
          <w:bCs/>
          <w:szCs w:val="24"/>
        </w:rPr>
        <w:t>a</w:t>
      </w:r>
      <w:r w:rsidR="00C62963">
        <w:rPr>
          <w:b/>
          <w:bCs/>
          <w:szCs w:val="24"/>
        </w:rPr>
        <w:t>ll</w:t>
      </w:r>
      <w:r w:rsidR="0011258A">
        <w:rPr>
          <w:b/>
          <w:bCs/>
          <w:szCs w:val="24"/>
        </w:rPr>
        <w:t xml:space="preserve"> item</w:t>
      </w:r>
      <w:r w:rsidR="00C62963">
        <w:rPr>
          <w:b/>
          <w:bCs/>
          <w:szCs w:val="24"/>
        </w:rPr>
        <w:t xml:space="preserve">s </w:t>
      </w:r>
      <w:r w:rsidR="0011258A">
        <w:rPr>
          <w:b/>
          <w:bCs/>
          <w:szCs w:val="24"/>
        </w:rPr>
        <w:t>pertaining to</w:t>
      </w:r>
      <w:r w:rsidRPr="00824BC0">
        <w:rPr>
          <w:b/>
          <w:bCs/>
          <w:szCs w:val="24"/>
        </w:rPr>
        <w:t xml:space="preserve"> the erroneous entries </w:t>
      </w:r>
      <w:r w:rsidR="0011258A">
        <w:rPr>
          <w:b/>
          <w:bCs/>
          <w:szCs w:val="24"/>
        </w:rPr>
        <w:t>in the Due to NGAs account</w:t>
      </w:r>
      <w:r w:rsidRPr="00824BC0">
        <w:rPr>
          <w:b/>
          <w:bCs/>
          <w:szCs w:val="24"/>
        </w:rPr>
        <w:t xml:space="preserve">; and (2) cause the immediate return/liquidation of the unexpended fund balances of completed projects to the respective source agencies or the Bureau of </w:t>
      </w:r>
      <w:r w:rsidR="00880F38">
        <w:rPr>
          <w:b/>
          <w:bCs/>
          <w:szCs w:val="24"/>
        </w:rPr>
        <w:t xml:space="preserve">the </w:t>
      </w:r>
      <w:r w:rsidRPr="00824BC0">
        <w:rPr>
          <w:b/>
          <w:bCs/>
          <w:szCs w:val="24"/>
        </w:rPr>
        <w:t>Treasury.</w:t>
      </w:r>
    </w:p>
    <w:p w14:paraId="5697BE7F" w14:textId="3DDE0EEB" w:rsidR="000D6661" w:rsidRDefault="000D6661" w:rsidP="006D1EBC">
      <w:pPr>
        <w:spacing w:after="0"/>
        <w:rPr>
          <w:szCs w:val="24"/>
        </w:rPr>
      </w:pPr>
    </w:p>
    <w:p w14:paraId="0AEF12C2" w14:textId="77777777" w:rsidR="00C62963" w:rsidRPr="00824BC0" w:rsidRDefault="00C62963" w:rsidP="006D1EBC">
      <w:pPr>
        <w:spacing w:after="0"/>
        <w:rPr>
          <w:szCs w:val="24"/>
        </w:rPr>
      </w:pPr>
    </w:p>
    <w:p w14:paraId="47FE96D8" w14:textId="65183F75" w:rsidR="006D1EBC" w:rsidRPr="00824BC0" w:rsidRDefault="006D1EBC" w:rsidP="006D1EBC">
      <w:pPr>
        <w:spacing w:after="0"/>
        <w:rPr>
          <w:rFonts w:ascii="Times New Roman" w:hAnsi="Times New Roman" w:cs="Times New Roman"/>
          <w:i/>
          <w:sz w:val="24"/>
          <w:szCs w:val="24"/>
        </w:rPr>
      </w:pPr>
      <w:r w:rsidRPr="00824BC0">
        <w:rPr>
          <w:rFonts w:ascii="Times New Roman" w:hAnsi="Times New Roman" w:cs="Times New Roman"/>
          <w:i/>
          <w:sz w:val="24"/>
          <w:szCs w:val="24"/>
        </w:rPr>
        <w:lastRenderedPageBreak/>
        <w:t>Management Comments:</w:t>
      </w:r>
    </w:p>
    <w:p w14:paraId="6E4769AE" w14:textId="77777777" w:rsidR="006D1EBC" w:rsidRPr="00824BC0" w:rsidRDefault="006D1EBC" w:rsidP="006D1EBC">
      <w:pPr>
        <w:spacing w:after="0"/>
        <w:rPr>
          <w:rFonts w:ascii="Times New Roman" w:hAnsi="Times New Roman" w:cs="Times New Roman"/>
          <w:i/>
          <w:sz w:val="24"/>
          <w:szCs w:val="24"/>
        </w:rPr>
      </w:pPr>
    </w:p>
    <w:p w14:paraId="54DDA8D2" w14:textId="0A136EE4" w:rsidR="006D1EBC" w:rsidRPr="00824BC0" w:rsidRDefault="006D1EBC" w:rsidP="00F34699">
      <w:pPr>
        <w:pStyle w:val="ListParagraph"/>
        <w:numPr>
          <w:ilvl w:val="1"/>
          <w:numId w:val="5"/>
        </w:numPr>
        <w:ind w:left="0" w:firstLine="0"/>
        <w:jc w:val="both"/>
        <w:rPr>
          <w:szCs w:val="24"/>
        </w:rPr>
      </w:pPr>
      <w:r w:rsidRPr="00824BC0">
        <w:rPr>
          <w:szCs w:val="24"/>
        </w:rPr>
        <w:t xml:space="preserve">In </w:t>
      </w:r>
      <w:r w:rsidR="00E06499">
        <w:rPr>
          <w:szCs w:val="24"/>
        </w:rPr>
        <w:t>Management’s</w:t>
      </w:r>
      <w:r w:rsidRPr="00824BC0">
        <w:rPr>
          <w:szCs w:val="24"/>
        </w:rPr>
        <w:t xml:space="preserve"> written reply to AOM No. 2022-06(2021)</w:t>
      </w:r>
      <w:r w:rsidR="00007D2F" w:rsidRPr="00824BC0">
        <w:rPr>
          <w:szCs w:val="24"/>
        </w:rPr>
        <w:t xml:space="preserve"> dated March 29, 2022</w:t>
      </w:r>
      <w:r w:rsidRPr="00824BC0">
        <w:rPr>
          <w:szCs w:val="24"/>
        </w:rPr>
        <w:t>, the Audit Team</w:t>
      </w:r>
      <w:r w:rsidR="00E06499">
        <w:rPr>
          <w:szCs w:val="24"/>
        </w:rPr>
        <w:t xml:space="preserve"> was informed</w:t>
      </w:r>
      <w:r w:rsidRPr="00824BC0">
        <w:rPr>
          <w:szCs w:val="24"/>
        </w:rPr>
        <w:t xml:space="preserve"> that they have directed the College Accountant through a memorandum to make the necessary adjustment to reclassify the amounts that have been erroneously recorded to the Due to NGAs account.  Journal Entry Vouchers (JEVs) were drawn to recognize the fund transfers amounting to ₱25,000,000.00 and ₱355,307.56 as Donations in Cash.</w:t>
      </w:r>
    </w:p>
    <w:p w14:paraId="49E7E52D" w14:textId="77777777" w:rsidR="006D1EBC" w:rsidRPr="00824BC0" w:rsidRDefault="006D1EBC" w:rsidP="006D1EBC">
      <w:pPr>
        <w:pStyle w:val="ListParagraph"/>
        <w:ind w:left="0"/>
        <w:jc w:val="both"/>
        <w:rPr>
          <w:szCs w:val="24"/>
        </w:rPr>
      </w:pPr>
    </w:p>
    <w:p w14:paraId="2FC1613B" w14:textId="5A2F48E7" w:rsidR="006D1EBC" w:rsidRPr="00824BC0" w:rsidRDefault="006D1EBC" w:rsidP="00F34699">
      <w:pPr>
        <w:pStyle w:val="ListParagraph"/>
        <w:numPr>
          <w:ilvl w:val="1"/>
          <w:numId w:val="5"/>
        </w:numPr>
        <w:ind w:left="0" w:firstLine="0"/>
        <w:jc w:val="both"/>
        <w:rPr>
          <w:szCs w:val="24"/>
        </w:rPr>
      </w:pPr>
      <w:r w:rsidRPr="00824BC0">
        <w:rPr>
          <w:szCs w:val="24"/>
        </w:rPr>
        <w:t>Meanwhile, Management also informed the Audit Team that the following unexpended balances were already returned to their source agencies upon completion of the project:</w:t>
      </w:r>
    </w:p>
    <w:p w14:paraId="75DB2CD6" w14:textId="04B3245E" w:rsidR="006D1EBC" w:rsidRPr="00824BC0" w:rsidRDefault="006D1EBC" w:rsidP="006D1EBC">
      <w:pPr>
        <w:pStyle w:val="ListParagraph"/>
        <w:rPr>
          <w:szCs w:val="24"/>
        </w:rPr>
      </w:pPr>
    </w:p>
    <w:tbl>
      <w:tblPr>
        <w:tblStyle w:val="TableGrid"/>
        <w:tblW w:w="0" w:type="auto"/>
        <w:tblInd w:w="-5" w:type="dxa"/>
        <w:tblLook w:val="04A0" w:firstRow="1" w:lastRow="0" w:firstColumn="1" w:lastColumn="0" w:noHBand="0" w:noVBand="1"/>
      </w:tblPr>
      <w:tblGrid>
        <w:gridCol w:w="3780"/>
        <w:gridCol w:w="1350"/>
        <w:gridCol w:w="1980"/>
        <w:gridCol w:w="1525"/>
      </w:tblGrid>
      <w:tr w:rsidR="006D1EBC" w:rsidRPr="00824BC0" w14:paraId="422C9ED2" w14:textId="77777777" w:rsidTr="00183488">
        <w:tc>
          <w:tcPr>
            <w:tcW w:w="3780" w:type="dxa"/>
            <w:vAlign w:val="bottom"/>
          </w:tcPr>
          <w:p w14:paraId="7D707BC0" w14:textId="6B5AE8F2" w:rsidR="006D1EBC" w:rsidRPr="00824BC0" w:rsidRDefault="00183488" w:rsidP="00183488">
            <w:pPr>
              <w:pStyle w:val="ListParagraph"/>
              <w:ind w:left="0"/>
              <w:jc w:val="center"/>
              <w:rPr>
                <w:b/>
                <w:szCs w:val="24"/>
              </w:rPr>
            </w:pPr>
            <w:r w:rsidRPr="00824BC0">
              <w:rPr>
                <w:b/>
                <w:szCs w:val="24"/>
              </w:rPr>
              <w:t>Funding Agency/Project</w:t>
            </w:r>
          </w:p>
        </w:tc>
        <w:tc>
          <w:tcPr>
            <w:tcW w:w="1350" w:type="dxa"/>
            <w:vAlign w:val="bottom"/>
          </w:tcPr>
          <w:p w14:paraId="5F486CEF" w14:textId="4738BFEE" w:rsidR="006D1EBC" w:rsidRPr="00824BC0" w:rsidRDefault="00183488" w:rsidP="00183488">
            <w:pPr>
              <w:pStyle w:val="ListParagraph"/>
              <w:ind w:left="0"/>
              <w:jc w:val="center"/>
              <w:rPr>
                <w:b/>
                <w:szCs w:val="24"/>
              </w:rPr>
            </w:pPr>
            <w:r w:rsidRPr="00824BC0">
              <w:rPr>
                <w:b/>
                <w:szCs w:val="24"/>
              </w:rPr>
              <w:t>Amount</w:t>
            </w:r>
          </w:p>
        </w:tc>
        <w:tc>
          <w:tcPr>
            <w:tcW w:w="1980" w:type="dxa"/>
            <w:vAlign w:val="bottom"/>
          </w:tcPr>
          <w:p w14:paraId="7887F426" w14:textId="6360A099" w:rsidR="006D1EBC" w:rsidRPr="00824BC0" w:rsidRDefault="00183488" w:rsidP="00183488">
            <w:pPr>
              <w:pStyle w:val="ListParagraph"/>
              <w:ind w:left="0"/>
              <w:jc w:val="center"/>
              <w:rPr>
                <w:b/>
                <w:szCs w:val="24"/>
              </w:rPr>
            </w:pPr>
            <w:r w:rsidRPr="00824BC0">
              <w:rPr>
                <w:b/>
                <w:szCs w:val="24"/>
              </w:rPr>
              <w:t>OR/Check No.</w:t>
            </w:r>
          </w:p>
        </w:tc>
        <w:tc>
          <w:tcPr>
            <w:tcW w:w="1525" w:type="dxa"/>
            <w:vAlign w:val="bottom"/>
          </w:tcPr>
          <w:p w14:paraId="12AE4227" w14:textId="58B25B36" w:rsidR="006D1EBC" w:rsidRPr="00824BC0" w:rsidRDefault="00183488" w:rsidP="00183488">
            <w:pPr>
              <w:pStyle w:val="ListParagraph"/>
              <w:ind w:left="0"/>
              <w:jc w:val="center"/>
              <w:rPr>
                <w:b/>
                <w:szCs w:val="24"/>
              </w:rPr>
            </w:pPr>
            <w:r w:rsidRPr="00824BC0">
              <w:rPr>
                <w:b/>
                <w:szCs w:val="24"/>
              </w:rPr>
              <w:t>Date</w:t>
            </w:r>
          </w:p>
        </w:tc>
      </w:tr>
      <w:tr w:rsidR="006D1EBC" w:rsidRPr="00824BC0" w14:paraId="1416AB53" w14:textId="77777777" w:rsidTr="00183488">
        <w:tc>
          <w:tcPr>
            <w:tcW w:w="3780" w:type="dxa"/>
          </w:tcPr>
          <w:p w14:paraId="44D5B129" w14:textId="4115F123" w:rsidR="006D1EBC" w:rsidRPr="00824BC0" w:rsidRDefault="00183488" w:rsidP="006D1EBC">
            <w:pPr>
              <w:pStyle w:val="ListParagraph"/>
              <w:ind w:left="0"/>
              <w:rPr>
                <w:szCs w:val="24"/>
              </w:rPr>
            </w:pPr>
            <w:r w:rsidRPr="00824BC0">
              <w:rPr>
                <w:szCs w:val="24"/>
              </w:rPr>
              <w:t>DA-OSec (PAFES Project)</w:t>
            </w:r>
          </w:p>
        </w:tc>
        <w:tc>
          <w:tcPr>
            <w:tcW w:w="1350" w:type="dxa"/>
          </w:tcPr>
          <w:p w14:paraId="54FA47B0" w14:textId="3A2792B1" w:rsidR="006D1EBC" w:rsidRPr="00824BC0" w:rsidRDefault="00183488" w:rsidP="00183488">
            <w:pPr>
              <w:pStyle w:val="ListParagraph"/>
              <w:ind w:left="0"/>
              <w:jc w:val="right"/>
              <w:rPr>
                <w:szCs w:val="24"/>
              </w:rPr>
            </w:pPr>
            <w:r w:rsidRPr="00824BC0">
              <w:rPr>
                <w:szCs w:val="24"/>
              </w:rPr>
              <w:t>₱40,376.64</w:t>
            </w:r>
          </w:p>
        </w:tc>
        <w:tc>
          <w:tcPr>
            <w:tcW w:w="1980" w:type="dxa"/>
          </w:tcPr>
          <w:p w14:paraId="209D03F4" w14:textId="3E41A19A" w:rsidR="006D1EBC" w:rsidRPr="00824BC0" w:rsidRDefault="00183488" w:rsidP="00183488">
            <w:pPr>
              <w:pStyle w:val="ListParagraph"/>
              <w:ind w:left="0"/>
              <w:jc w:val="center"/>
              <w:rPr>
                <w:szCs w:val="24"/>
              </w:rPr>
            </w:pPr>
            <w:r w:rsidRPr="00824BC0">
              <w:rPr>
                <w:szCs w:val="24"/>
              </w:rPr>
              <w:t>OR No. 3756016</w:t>
            </w:r>
          </w:p>
        </w:tc>
        <w:tc>
          <w:tcPr>
            <w:tcW w:w="1525" w:type="dxa"/>
          </w:tcPr>
          <w:p w14:paraId="42AD7963" w14:textId="02364A5D" w:rsidR="006D1EBC" w:rsidRPr="00824BC0" w:rsidRDefault="00183488" w:rsidP="00183488">
            <w:pPr>
              <w:pStyle w:val="ListParagraph"/>
              <w:ind w:left="0"/>
              <w:jc w:val="center"/>
              <w:rPr>
                <w:szCs w:val="24"/>
              </w:rPr>
            </w:pPr>
            <w:r w:rsidRPr="00824BC0">
              <w:rPr>
                <w:szCs w:val="24"/>
              </w:rPr>
              <w:t>2/11/2022</w:t>
            </w:r>
          </w:p>
        </w:tc>
      </w:tr>
      <w:tr w:rsidR="00183488" w:rsidRPr="00824BC0" w14:paraId="1750FD50" w14:textId="77777777" w:rsidTr="00183488">
        <w:tc>
          <w:tcPr>
            <w:tcW w:w="3780" w:type="dxa"/>
          </w:tcPr>
          <w:p w14:paraId="3750A4F3" w14:textId="4374354B" w:rsidR="00183488" w:rsidRPr="00824BC0" w:rsidRDefault="00183488" w:rsidP="006D1EBC">
            <w:pPr>
              <w:pStyle w:val="ListParagraph"/>
              <w:ind w:left="0"/>
              <w:rPr>
                <w:szCs w:val="24"/>
              </w:rPr>
            </w:pPr>
            <w:r w:rsidRPr="00824BC0">
              <w:rPr>
                <w:szCs w:val="24"/>
              </w:rPr>
              <w:t>DA-ATI (Results-based Monitoring</w:t>
            </w:r>
          </w:p>
        </w:tc>
        <w:tc>
          <w:tcPr>
            <w:tcW w:w="1350" w:type="dxa"/>
          </w:tcPr>
          <w:p w14:paraId="2BD4DB7D" w14:textId="4E3FFD42" w:rsidR="00183488" w:rsidRPr="00824BC0" w:rsidRDefault="00183488" w:rsidP="00183488">
            <w:pPr>
              <w:pStyle w:val="ListParagraph"/>
              <w:ind w:left="0"/>
              <w:jc w:val="right"/>
              <w:rPr>
                <w:szCs w:val="24"/>
              </w:rPr>
            </w:pPr>
            <w:r w:rsidRPr="00824BC0">
              <w:rPr>
                <w:szCs w:val="24"/>
              </w:rPr>
              <w:t>116.00</w:t>
            </w:r>
          </w:p>
        </w:tc>
        <w:tc>
          <w:tcPr>
            <w:tcW w:w="1980" w:type="dxa"/>
          </w:tcPr>
          <w:p w14:paraId="1FF522C1" w14:textId="3AF8885F" w:rsidR="00183488" w:rsidRPr="00824BC0" w:rsidRDefault="00183488" w:rsidP="00183488">
            <w:pPr>
              <w:pStyle w:val="ListParagraph"/>
              <w:ind w:left="0"/>
              <w:jc w:val="center"/>
              <w:rPr>
                <w:szCs w:val="24"/>
              </w:rPr>
            </w:pPr>
            <w:r w:rsidRPr="00824BC0">
              <w:rPr>
                <w:szCs w:val="24"/>
              </w:rPr>
              <w:t>Check No. 60648</w:t>
            </w:r>
          </w:p>
        </w:tc>
        <w:tc>
          <w:tcPr>
            <w:tcW w:w="1525" w:type="dxa"/>
          </w:tcPr>
          <w:p w14:paraId="1A42FF83" w14:textId="5DB89CB4" w:rsidR="00183488" w:rsidRPr="00824BC0" w:rsidRDefault="00183488" w:rsidP="00183488">
            <w:pPr>
              <w:pStyle w:val="ListParagraph"/>
              <w:ind w:left="0"/>
              <w:jc w:val="center"/>
              <w:rPr>
                <w:szCs w:val="24"/>
              </w:rPr>
            </w:pPr>
            <w:r w:rsidRPr="00824BC0">
              <w:rPr>
                <w:szCs w:val="24"/>
              </w:rPr>
              <w:t>3/10/2022</w:t>
            </w:r>
          </w:p>
        </w:tc>
      </w:tr>
      <w:tr w:rsidR="00183488" w:rsidRPr="00824BC0" w14:paraId="04758CF4" w14:textId="77777777" w:rsidTr="00183488">
        <w:tc>
          <w:tcPr>
            <w:tcW w:w="3780" w:type="dxa"/>
          </w:tcPr>
          <w:p w14:paraId="4BC0FBCF" w14:textId="40241053" w:rsidR="00183488" w:rsidRPr="00824BC0" w:rsidRDefault="00183488" w:rsidP="00183488">
            <w:pPr>
              <w:pStyle w:val="ListParagraph"/>
              <w:ind w:left="0"/>
              <w:rPr>
                <w:szCs w:val="24"/>
              </w:rPr>
            </w:pPr>
            <w:r w:rsidRPr="00824BC0">
              <w:rPr>
                <w:szCs w:val="24"/>
              </w:rPr>
              <w:t>DA-ATI (Rice Competitiveness)</w:t>
            </w:r>
          </w:p>
        </w:tc>
        <w:tc>
          <w:tcPr>
            <w:tcW w:w="1350" w:type="dxa"/>
          </w:tcPr>
          <w:p w14:paraId="45891229" w14:textId="566A0DF9" w:rsidR="00183488" w:rsidRPr="00824BC0" w:rsidRDefault="00183488" w:rsidP="00183488">
            <w:pPr>
              <w:pStyle w:val="ListParagraph"/>
              <w:ind w:left="0"/>
              <w:jc w:val="right"/>
              <w:rPr>
                <w:szCs w:val="24"/>
              </w:rPr>
            </w:pPr>
            <w:r w:rsidRPr="00824BC0">
              <w:rPr>
                <w:szCs w:val="24"/>
              </w:rPr>
              <w:t>17,587.50</w:t>
            </w:r>
          </w:p>
        </w:tc>
        <w:tc>
          <w:tcPr>
            <w:tcW w:w="1980" w:type="dxa"/>
          </w:tcPr>
          <w:p w14:paraId="368A8031" w14:textId="7ABE1B6F" w:rsidR="00183488" w:rsidRPr="00824BC0" w:rsidRDefault="00183488" w:rsidP="00183488">
            <w:pPr>
              <w:pStyle w:val="ListParagraph"/>
              <w:ind w:left="0"/>
              <w:jc w:val="center"/>
              <w:rPr>
                <w:szCs w:val="24"/>
              </w:rPr>
            </w:pPr>
            <w:r w:rsidRPr="00824BC0">
              <w:rPr>
                <w:szCs w:val="24"/>
              </w:rPr>
              <w:t>Check No. 60692</w:t>
            </w:r>
          </w:p>
        </w:tc>
        <w:tc>
          <w:tcPr>
            <w:tcW w:w="1525" w:type="dxa"/>
          </w:tcPr>
          <w:p w14:paraId="7A64B4B5" w14:textId="355CB091" w:rsidR="00183488" w:rsidRPr="00824BC0" w:rsidRDefault="00183488" w:rsidP="00183488">
            <w:pPr>
              <w:pStyle w:val="ListParagraph"/>
              <w:ind w:left="0"/>
              <w:jc w:val="center"/>
              <w:rPr>
                <w:szCs w:val="24"/>
              </w:rPr>
            </w:pPr>
            <w:r w:rsidRPr="00824BC0">
              <w:rPr>
                <w:szCs w:val="24"/>
              </w:rPr>
              <w:t>3/28/2022</w:t>
            </w:r>
          </w:p>
        </w:tc>
      </w:tr>
      <w:tr w:rsidR="00183488" w:rsidRPr="00824BC0" w14:paraId="2C226F93" w14:textId="77777777" w:rsidTr="00183488">
        <w:tc>
          <w:tcPr>
            <w:tcW w:w="3780" w:type="dxa"/>
          </w:tcPr>
          <w:p w14:paraId="4F89BADE" w14:textId="17440777" w:rsidR="00183488" w:rsidRPr="00824BC0" w:rsidRDefault="00183488" w:rsidP="00183488">
            <w:pPr>
              <w:pStyle w:val="ListParagraph"/>
              <w:ind w:left="0"/>
              <w:rPr>
                <w:szCs w:val="24"/>
              </w:rPr>
            </w:pPr>
            <w:r w:rsidRPr="00824BC0">
              <w:rPr>
                <w:szCs w:val="24"/>
              </w:rPr>
              <w:t>DA BAR (Improving Water and Land Productivity</w:t>
            </w:r>
          </w:p>
        </w:tc>
        <w:tc>
          <w:tcPr>
            <w:tcW w:w="1350" w:type="dxa"/>
          </w:tcPr>
          <w:p w14:paraId="3476D341" w14:textId="77777777" w:rsidR="00183488" w:rsidRPr="00824BC0" w:rsidRDefault="00183488" w:rsidP="00183488">
            <w:pPr>
              <w:pStyle w:val="ListParagraph"/>
              <w:ind w:left="0"/>
              <w:jc w:val="right"/>
              <w:rPr>
                <w:szCs w:val="24"/>
              </w:rPr>
            </w:pPr>
          </w:p>
          <w:p w14:paraId="71D2C7A4" w14:textId="436685FD" w:rsidR="00183488" w:rsidRPr="00824BC0" w:rsidRDefault="00183488" w:rsidP="00183488">
            <w:pPr>
              <w:pStyle w:val="ListParagraph"/>
              <w:ind w:left="0"/>
              <w:jc w:val="right"/>
              <w:rPr>
                <w:szCs w:val="24"/>
              </w:rPr>
            </w:pPr>
            <w:r w:rsidRPr="00824BC0">
              <w:rPr>
                <w:szCs w:val="24"/>
              </w:rPr>
              <w:t>4,097.87</w:t>
            </w:r>
          </w:p>
        </w:tc>
        <w:tc>
          <w:tcPr>
            <w:tcW w:w="1980" w:type="dxa"/>
          </w:tcPr>
          <w:p w14:paraId="5BAC21E3" w14:textId="77777777" w:rsidR="00183488" w:rsidRPr="00824BC0" w:rsidRDefault="00183488" w:rsidP="00183488">
            <w:pPr>
              <w:pStyle w:val="ListParagraph"/>
              <w:ind w:left="0"/>
              <w:jc w:val="center"/>
              <w:rPr>
                <w:szCs w:val="24"/>
              </w:rPr>
            </w:pPr>
          </w:p>
          <w:p w14:paraId="3E41C382" w14:textId="228E059F" w:rsidR="00183488" w:rsidRPr="00824BC0" w:rsidRDefault="00183488" w:rsidP="00183488">
            <w:pPr>
              <w:pStyle w:val="ListParagraph"/>
              <w:ind w:left="0"/>
              <w:jc w:val="center"/>
              <w:rPr>
                <w:szCs w:val="24"/>
              </w:rPr>
            </w:pPr>
            <w:r w:rsidRPr="00824BC0">
              <w:rPr>
                <w:szCs w:val="24"/>
              </w:rPr>
              <w:t>Check No. 60662</w:t>
            </w:r>
          </w:p>
        </w:tc>
        <w:tc>
          <w:tcPr>
            <w:tcW w:w="1525" w:type="dxa"/>
          </w:tcPr>
          <w:p w14:paraId="19C30BE5" w14:textId="77777777" w:rsidR="00183488" w:rsidRPr="00824BC0" w:rsidRDefault="00183488" w:rsidP="00183488">
            <w:pPr>
              <w:pStyle w:val="ListParagraph"/>
              <w:ind w:left="0"/>
              <w:jc w:val="center"/>
              <w:rPr>
                <w:szCs w:val="24"/>
              </w:rPr>
            </w:pPr>
          </w:p>
          <w:p w14:paraId="7BF61F79" w14:textId="00D359B2" w:rsidR="00183488" w:rsidRPr="00824BC0" w:rsidRDefault="00183488" w:rsidP="00183488">
            <w:pPr>
              <w:pStyle w:val="ListParagraph"/>
              <w:ind w:left="0"/>
              <w:jc w:val="center"/>
              <w:rPr>
                <w:szCs w:val="24"/>
              </w:rPr>
            </w:pPr>
            <w:r w:rsidRPr="00824BC0">
              <w:rPr>
                <w:szCs w:val="24"/>
              </w:rPr>
              <w:t>3/21/2022</w:t>
            </w:r>
          </w:p>
        </w:tc>
      </w:tr>
      <w:tr w:rsidR="00183488" w:rsidRPr="00824BC0" w14:paraId="5156E107" w14:textId="77777777" w:rsidTr="00183488">
        <w:tc>
          <w:tcPr>
            <w:tcW w:w="3780" w:type="dxa"/>
          </w:tcPr>
          <w:p w14:paraId="2775B054" w14:textId="201371E4" w:rsidR="00183488" w:rsidRPr="00824BC0" w:rsidRDefault="00183488" w:rsidP="00183488">
            <w:pPr>
              <w:pStyle w:val="ListParagraph"/>
              <w:ind w:left="0"/>
              <w:rPr>
                <w:szCs w:val="24"/>
              </w:rPr>
            </w:pPr>
            <w:r w:rsidRPr="00824BC0">
              <w:rPr>
                <w:szCs w:val="24"/>
              </w:rPr>
              <w:t>CHEDRO3 (Admin. Cost for TES 2</w:t>
            </w:r>
            <w:r w:rsidRPr="00824BC0">
              <w:rPr>
                <w:szCs w:val="24"/>
                <w:vertAlign w:val="superscript"/>
              </w:rPr>
              <w:t>nd</w:t>
            </w:r>
            <w:r w:rsidRPr="00824BC0">
              <w:rPr>
                <w:szCs w:val="24"/>
              </w:rPr>
              <w:t xml:space="preserve"> Sem AY 2020-2021)</w:t>
            </w:r>
          </w:p>
        </w:tc>
        <w:tc>
          <w:tcPr>
            <w:tcW w:w="1350" w:type="dxa"/>
          </w:tcPr>
          <w:p w14:paraId="4BAC5F83" w14:textId="77777777" w:rsidR="00183488" w:rsidRPr="00824BC0" w:rsidRDefault="00183488" w:rsidP="00183488">
            <w:pPr>
              <w:pStyle w:val="ListParagraph"/>
              <w:ind w:left="0"/>
              <w:jc w:val="right"/>
              <w:rPr>
                <w:szCs w:val="24"/>
              </w:rPr>
            </w:pPr>
          </w:p>
          <w:p w14:paraId="68FA412F" w14:textId="6975690A" w:rsidR="00183488" w:rsidRPr="00824BC0" w:rsidRDefault="00183488" w:rsidP="00183488">
            <w:pPr>
              <w:pStyle w:val="ListParagraph"/>
              <w:ind w:left="0"/>
              <w:jc w:val="right"/>
              <w:rPr>
                <w:szCs w:val="24"/>
              </w:rPr>
            </w:pPr>
            <w:r w:rsidRPr="00824BC0">
              <w:rPr>
                <w:szCs w:val="24"/>
              </w:rPr>
              <w:t>6,348.00</w:t>
            </w:r>
          </w:p>
        </w:tc>
        <w:tc>
          <w:tcPr>
            <w:tcW w:w="1980" w:type="dxa"/>
          </w:tcPr>
          <w:p w14:paraId="68E59893" w14:textId="77777777" w:rsidR="00183488" w:rsidRPr="00824BC0" w:rsidRDefault="00183488" w:rsidP="00183488">
            <w:pPr>
              <w:pStyle w:val="ListParagraph"/>
              <w:ind w:left="0"/>
              <w:jc w:val="center"/>
              <w:rPr>
                <w:szCs w:val="24"/>
              </w:rPr>
            </w:pPr>
          </w:p>
          <w:p w14:paraId="63A38A87" w14:textId="7736DBD1" w:rsidR="00183488" w:rsidRPr="00824BC0" w:rsidRDefault="00183488" w:rsidP="00183488">
            <w:pPr>
              <w:pStyle w:val="ListParagraph"/>
              <w:ind w:left="0"/>
              <w:jc w:val="center"/>
              <w:rPr>
                <w:szCs w:val="24"/>
              </w:rPr>
            </w:pPr>
            <w:r w:rsidRPr="00824BC0">
              <w:rPr>
                <w:szCs w:val="24"/>
              </w:rPr>
              <w:t>Check No. 60691</w:t>
            </w:r>
          </w:p>
        </w:tc>
        <w:tc>
          <w:tcPr>
            <w:tcW w:w="1525" w:type="dxa"/>
          </w:tcPr>
          <w:p w14:paraId="0A32E21B" w14:textId="77777777" w:rsidR="00183488" w:rsidRPr="00824BC0" w:rsidRDefault="00183488" w:rsidP="00183488">
            <w:pPr>
              <w:pStyle w:val="ListParagraph"/>
              <w:ind w:left="0"/>
              <w:jc w:val="center"/>
              <w:rPr>
                <w:szCs w:val="24"/>
              </w:rPr>
            </w:pPr>
          </w:p>
          <w:p w14:paraId="140650CF" w14:textId="35F90D43" w:rsidR="00183488" w:rsidRPr="00824BC0" w:rsidRDefault="00183488" w:rsidP="00183488">
            <w:pPr>
              <w:pStyle w:val="ListParagraph"/>
              <w:ind w:left="0"/>
              <w:jc w:val="center"/>
              <w:rPr>
                <w:szCs w:val="24"/>
              </w:rPr>
            </w:pPr>
            <w:r w:rsidRPr="00824BC0">
              <w:rPr>
                <w:szCs w:val="24"/>
              </w:rPr>
              <w:t>3/28/2022</w:t>
            </w:r>
          </w:p>
        </w:tc>
      </w:tr>
      <w:tr w:rsidR="00183488" w:rsidRPr="00824BC0" w14:paraId="72FD8EC4" w14:textId="77777777" w:rsidTr="00183488">
        <w:tc>
          <w:tcPr>
            <w:tcW w:w="3780" w:type="dxa"/>
          </w:tcPr>
          <w:p w14:paraId="5F8AFF1B" w14:textId="478A012B" w:rsidR="00183488" w:rsidRPr="00824BC0" w:rsidRDefault="00183488" w:rsidP="00183488">
            <w:pPr>
              <w:pStyle w:val="ListParagraph"/>
              <w:ind w:left="0"/>
              <w:jc w:val="center"/>
              <w:rPr>
                <w:b/>
                <w:szCs w:val="24"/>
              </w:rPr>
            </w:pPr>
            <w:r w:rsidRPr="00824BC0">
              <w:rPr>
                <w:b/>
                <w:szCs w:val="24"/>
              </w:rPr>
              <w:t>TOTAL</w:t>
            </w:r>
          </w:p>
        </w:tc>
        <w:tc>
          <w:tcPr>
            <w:tcW w:w="1350" w:type="dxa"/>
          </w:tcPr>
          <w:p w14:paraId="7269917D" w14:textId="10BD9CFC" w:rsidR="00183488" w:rsidRPr="00824BC0" w:rsidRDefault="00183488" w:rsidP="00183488">
            <w:pPr>
              <w:pStyle w:val="ListParagraph"/>
              <w:ind w:left="0"/>
              <w:jc w:val="right"/>
              <w:rPr>
                <w:b/>
                <w:szCs w:val="24"/>
              </w:rPr>
            </w:pPr>
            <w:r w:rsidRPr="00824BC0">
              <w:rPr>
                <w:b/>
                <w:szCs w:val="24"/>
              </w:rPr>
              <w:t>₱68,526.01</w:t>
            </w:r>
          </w:p>
        </w:tc>
        <w:tc>
          <w:tcPr>
            <w:tcW w:w="1980" w:type="dxa"/>
          </w:tcPr>
          <w:p w14:paraId="56FF4AB7" w14:textId="77777777" w:rsidR="00183488" w:rsidRPr="00824BC0" w:rsidRDefault="00183488" w:rsidP="00183488">
            <w:pPr>
              <w:pStyle w:val="ListParagraph"/>
              <w:ind w:left="0"/>
              <w:jc w:val="center"/>
              <w:rPr>
                <w:b/>
                <w:szCs w:val="24"/>
              </w:rPr>
            </w:pPr>
          </w:p>
        </w:tc>
        <w:tc>
          <w:tcPr>
            <w:tcW w:w="1525" w:type="dxa"/>
          </w:tcPr>
          <w:p w14:paraId="1AE23450" w14:textId="77777777" w:rsidR="00183488" w:rsidRPr="00824BC0" w:rsidRDefault="00183488" w:rsidP="00183488">
            <w:pPr>
              <w:pStyle w:val="ListParagraph"/>
              <w:ind w:left="0"/>
              <w:jc w:val="center"/>
              <w:rPr>
                <w:b/>
                <w:szCs w:val="24"/>
              </w:rPr>
            </w:pPr>
          </w:p>
        </w:tc>
      </w:tr>
    </w:tbl>
    <w:p w14:paraId="6786CBDD" w14:textId="77777777" w:rsidR="006D1EBC" w:rsidRPr="00824BC0" w:rsidRDefault="006D1EBC" w:rsidP="006D1EBC">
      <w:pPr>
        <w:pStyle w:val="ListParagraph"/>
        <w:rPr>
          <w:szCs w:val="24"/>
        </w:rPr>
      </w:pPr>
    </w:p>
    <w:p w14:paraId="630C9C75" w14:textId="68ED3477" w:rsidR="006D1EBC" w:rsidRPr="00824BC0" w:rsidRDefault="00183488" w:rsidP="00F34699">
      <w:pPr>
        <w:pStyle w:val="ListParagraph"/>
        <w:numPr>
          <w:ilvl w:val="1"/>
          <w:numId w:val="5"/>
        </w:numPr>
        <w:ind w:left="0" w:firstLine="0"/>
        <w:jc w:val="both"/>
        <w:rPr>
          <w:szCs w:val="24"/>
        </w:rPr>
      </w:pPr>
      <w:r w:rsidRPr="00824BC0">
        <w:rPr>
          <w:szCs w:val="24"/>
        </w:rPr>
        <w:t xml:space="preserve">Management further explained that the unexpended balance of some completed projects which the funding agencies did not require </w:t>
      </w:r>
      <w:r w:rsidR="00CA43B0" w:rsidRPr="00824BC0">
        <w:rPr>
          <w:szCs w:val="24"/>
        </w:rPr>
        <w:t xml:space="preserve">the </w:t>
      </w:r>
      <w:r w:rsidRPr="00824BC0">
        <w:rPr>
          <w:szCs w:val="24"/>
        </w:rPr>
        <w:t>return were remitted to the B</w:t>
      </w:r>
      <w:r w:rsidR="00CA43B0" w:rsidRPr="00824BC0">
        <w:rPr>
          <w:szCs w:val="24"/>
        </w:rPr>
        <w:t>Tr</w:t>
      </w:r>
      <w:r w:rsidRPr="00824BC0">
        <w:rPr>
          <w:szCs w:val="24"/>
        </w:rPr>
        <w:t xml:space="preserve">, such as the funds coming from </w:t>
      </w:r>
      <w:r w:rsidR="00CA43B0" w:rsidRPr="00824BC0">
        <w:rPr>
          <w:szCs w:val="24"/>
        </w:rPr>
        <w:t xml:space="preserve">the </w:t>
      </w:r>
      <w:r w:rsidRPr="00824BC0">
        <w:rPr>
          <w:szCs w:val="24"/>
        </w:rPr>
        <w:t>National Irrigation Administration (NIA) for the project Farmers Satisfaction Survey for Calendar Years (CYs) 2017, 2018, 2019 and 2020 with a total amount of ₱32,832.10.  The return of the amount is evidenced by Check No. 60693 dated March 28, 2022.</w:t>
      </w:r>
    </w:p>
    <w:p w14:paraId="6DFDB08B" w14:textId="77777777" w:rsidR="00007D2F" w:rsidRPr="00824BC0" w:rsidRDefault="00007D2F" w:rsidP="00007D2F">
      <w:pPr>
        <w:pStyle w:val="ListParagraph"/>
        <w:ind w:left="0"/>
        <w:jc w:val="both"/>
        <w:rPr>
          <w:szCs w:val="24"/>
        </w:rPr>
      </w:pPr>
    </w:p>
    <w:p w14:paraId="12BE740A" w14:textId="4728D0B0" w:rsidR="00007D2F" w:rsidRPr="00824BC0" w:rsidRDefault="00007D2F" w:rsidP="00F34699">
      <w:pPr>
        <w:pStyle w:val="ListParagraph"/>
        <w:numPr>
          <w:ilvl w:val="1"/>
          <w:numId w:val="5"/>
        </w:numPr>
        <w:ind w:left="0" w:firstLine="0"/>
        <w:jc w:val="both"/>
        <w:rPr>
          <w:szCs w:val="24"/>
        </w:rPr>
      </w:pPr>
      <w:r w:rsidRPr="00824BC0">
        <w:rPr>
          <w:szCs w:val="24"/>
        </w:rPr>
        <w:t xml:space="preserve">The remaining unexpended balances will undergo </w:t>
      </w:r>
      <w:r w:rsidR="00091572" w:rsidRPr="00824BC0">
        <w:rPr>
          <w:szCs w:val="24"/>
        </w:rPr>
        <w:t>verification</w:t>
      </w:r>
      <w:r w:rsidRPr="00824BC0">
        <w:rPr>
          <w:szCs w:val="24"/>
        </w:rPr>
        <w:t xml:space="preserve"> from the funding agencies</w:t>
      </w:r>
      <w:r w:rsidR="00CA43B0" w:rsidRPr="00824BC0">
        <w:rPr>
          <w:szCs w:val="24"/>
        </w:rPr>
        <w:t xml:space="preserve"> on</w:t>
      </w:r>
      <w:r w:rsidRPr="00824BC0">
        <w:rPr>
          <w:szCs w:val="24"/>
        </w:rPr>
        <w:t xml:space="preserve"> whether they will require the return of the same.  If not, the College Accountant will </w:t>
      </w:r>
      <w:r w:rsidR="00CA43B0" w:rsidRPr="00824BC0">
        <w:rPr>
          <w:szCs w:val="24"/>
        </w:rPr>
        <w:t>initiate</w:t>
      </w:r>
      <w:r w:rsidRPr="00824BC0">
        <w:rPr>
          <w:szCs w:val="24"/>
        </w:rPr>
        <w:t xml:space="preserve"> the return of the funds to the B</w:t>
      </w:r>
      <w:r w:rsidR="00CA43B0" w:rsidRPr="00824BC0">
        <w:rPr>
          <w:szCs w:val="24"/>
        </w:rPr>
        <w:t>Tr</w:t>
      </w:r>
      <w:r w:rsidRPr="00824BC0">
        <w:rPr>
          <w:szCs w:val="24"/>
        </w:rPr>
        <w:t xml:space="preserve"> by the 2</w:t>
      </w:r>
      <w:r w:rsidRPr="00824BC0">
        <w:rPr>
          <w:szCs w:val="24"/>
          <w:vertAlign w:val="superscript"/>
        </w:rPr>
        <w:t>nd</w:t>
      </w:r>
      <w:r w:rsidRPr="00824BC0">
        <w:rPr>
          <w:szCs w:val="24"/>
        </w:rPr>
        <w:t xml:space="preserve"> quarter of 2022.</w:t>
      </w:r>
    </w:p>
    <w:p w14:paraId="508C3DC1" w14:textId="77777777" w:rsidR="00007D2F" w:rsidRPr="00824BC0" w:rsidRDefault="00007D2F" w:rsidP="00007D2F">
      <w:pPr>
        <w:pStyle w:val="ListParagraph"/>
        <w:rPr>
          <w:szCs w:val="24"/>
        </w:rPr>
      </w:pPr>
    </w:p>
    <w:p w14:paraId="29967BBB" w14:textId="72BD7D6F" w:rsidR="00733973" w:rsidRPr="00824BC0" w:rsidRDefault="00733973" w:rsidP="00F34699">
      <w:pPr>
        <w:pStyle w:val="ListParagraph"/>
        <w:numPr>
          <w:ilvl w:val="1"/>
          <w:numId w:val="5"/>
        </w:numPr>
        <w:ind w:left="0" w:firstLine="0"/>
        <w:jc w:val="both"/>
        <w:rPr>
          <w:szCs w:val="24"/>
        </w:rPr>
      </w:pPr>
      <w:r w:rsidRPr="00824BC0">
        <w:rPr>
          <w:szCs w:val="24"/>
        </w:rPr>
        <w:t xml:space="preserve">Moreover, </w:t>
      </w:r>
      <w:r w:rsidR="00007D2F" w:rsidRPr="00824BC0">
        <w:rPr>
          <w:szCs w:val="24"/>
        </w:rPr>
        <w:t>adjusting entries to correct the erroneous recognition of income from seminar fees</w:t>
      </w:r>
      <w:r w:rsidR="00CA43B0" w:rsidRPr="00824BC0">
        <w:rPr>
          <w:szCs w:val="24"/>
        </w:rPr>
        <w:t xml:space="preserve"> to Miscellaneous Income</w:t>
      </w:r>
      <w:r w:rsidR="00007D2F" w:rsidRPr="00824BC0">
        <w:rPr>
          <w:szCs w:val="24"/>
        </w:rPr>
        <w:t xml:space="preserve"> amounting to ₱5,400.10 were drawn via JEV No. 22-01-31. </w:t>
      </w:r>
    </w:p>
    <w:p w14:paraId="0D158290" w14:textId="77777777" w:rsidR="00733973" w:rsidRPr="00824BC0" w:rsidRDefault="00733973" w:rsidP="00733973">
      <w:pPr>
        <w:pStyle w:val="ListParagraph"/>
        <w:rPr>
          <w:szCs w:val="24"/>
        </w:rPr>
      </w:pPr>
    </w:p>
    <w:p w14:paraId="0934FAF5" w14:textId="180162D0" w:rsidR="00007D2F" w:rsidRPr="00824BC0" w:rsidRDefault="00733973" w:rsidP="00F34699">
      <w:pPr>
        <w:pStyle w:val="ListParagraph"/>
        <w:numPr>
          <w:ilvl w:val="1"/>
          <w:numId w:val="5"/>
        </w:numPr>
        <w:ind w:left="0" w:firstLine="0"/>
        <w:jc w:val="both"/>
        <w:rPr>
          <w:szCs w:val="24"/>
        </w:rPr>
      </w:pPr>
      <w:r w:rsidRPr="00824BC0">
        <w:rPr>
          <w:szCs w:val="24"/>
        </w:rPr>
        <w:t>Lastly, Management informed the Audit Team during the exit conference that t</w:t>
      </w:r>
      <w:r w:rsidR="00007D2F" w:rsidRPr="00824BC0">
        <w:rPr>
          <w:szCs w:val="24"/>
        </w:rPr>
        <w:t>he amount of ₱2,023,000.00 and ₱531,00.00 for SAFE Loan and STUFAP</w:t>
      </w:r>
      <w:r w:rsidR="00D4597D" w:rsidRPr="00824BC0">
        <w:rPr>
          <w:szCs w:val="24"/>
        </w:rPr>
        <w:t>, respectively,</w:t>
      </w:r>
      <w:r w:rsidR="00007D2F" w:rsidRPr="00824BC0">
        <w:rPr>
          <w:szCs w:val="24"/>
        </w:rPr>
        <w:t xml:space="preserve"> will remain in the Due to NGAs account as it is considered as receivable by CHED Regional Office No. III and will be returned to the said </w:t>
      </w:r>
      <w:r w:rsidR="00CA43B0" w:rsidRPr="00824BC0">
        <w:rPr>
          <w:szCs w:val="24"/>
        </w:rPr>
        <w:t>A</w:t>
      </w:r>
      <w:r w:rsidR="00007D2F" w:rsidRPr="00824BC0">
        <w:rPr>
          <w:szCs w:val="24"/>
        </w:rPr>
        <w:t>gency upon collection of loan payments.</w:t>
      </w:r>
    </w:p>
    <w:p w14:paraId="70D758A2" w14:textId="1673E5E1" w:rsidR="00007D2F" w:rsidRPr="00824BC0" w:rsidRDefault="00007D2F" w:rsidP="00007D2F">
      <w:pPr>
        <w:pStyle w:val="ListParagraph"/>
        <w:rPr>
          <w:szCs w:val="24"/>
        </w:rPr>
      </w:pPr>
    </w:p>
    <w:p w14:paraId="7746B71C" w14:textId="6EEBAD39" w:rsidR="000D6661" w:rsidRPr="00824BC0" w:rsidRDefault="000D6661" w:rsidP="00007D2F">
      <w:pPr>
        <w:pStyle w:val="ListParagraph"/>
        <w:rPr>
          <w:szCs w:val="24"/>
        </w:rPr>
      </w:pPr>
    </w:p>
    <w:p w14:paraId="62614DE1" w14:textId="21CC3DD7" w:rsidR="000D6661" w:rsidRDefault="000D6661" w:rsidP="00007D2F">
      <w:pPr>
        <w:pStyle w:val="ListParagraph"/>
        <w:rPr>
          <w:szCs w:val="24"/>
        </w:rPr>
      </w:pPr>
    </w:p>
    <w:p w14:paraId="0DEDA4C9" w14:textId="61BE9B21" w:rsidR="00007D2F" w:rsidRPr="00824BC0" w:rsidRDefault="00007D2F" w:rsidP="00007D2F">
      <w:pPr>
        <w:pStyle w:val="ListParagraph"/>
        <w:ind w:left="0"/>
        <w:jc w:val="both"/>
        <w:rPr>
          <w:szCs w:val="24"/>
        </w:rPr>
      </w:pPr>
    </w:p>
    <w:p w14:paraId="68522889" w14:textId="506472EC" w:rsidR="00742B6D" w:rsidRPr="00824BC0" w:rsidRDefault="00742B6D" w:rsidP="00007D2F">
      <w:pPr>
        <w:pStyle w:val="ListParagraph"/>
        <w:ind w:left="0"/>
        <w:jc w:val="both"/>
        <w:rPr>
          <w:i/>
          <w:szCs w:val="24"/>
        </w:rPr>
      </w:pPr>
      <w:r w:rsidRPr="00824BC0">
        <w:rPr>
          <w:i/>
          <w:szCs w:val="24"/>
        </w:rPr>
        <w:lastRenderedPageBreak/>
        <w:t>Overstated year-end balance of Other Payables – ₱8.805 million</w:t>
      </w:r>
    </w:p>
    <w:p w14:paraId="589BD351" w14:textId="77777777" w:rsidR="00742B6D" w:rsidRPr="00824BC0" w:rsidRDefault="00742B6D" w:rsidP="00007D2F">
      <w:pPr>
        <w:pStyle w:val="ListParagraph"/>
        <w:ind w:left="0"/>
        <w:jc w:val="both"/>
        <w:rPr>
          <w:szCs w:val="24"/>
        </w:rPr>
      </w:pPr>
    </w:p>
    <w:p w14:paraId="545A7C6A" w14:textId="74098242" w:rsidR="00742B6D" w:rsidRPr="00824BC0" w:rsidRDefault="00CA43B0" w:rsidP="00742B6D">
      <w:pPr>
        <w:pStyle w:val="ListParagraph"/>
        <w:numPr>
          <w:ilvl w:val="0"/>
          <w:numId w:val="5"/>
        </w:numPr>
        <w:ind w:left="0" w:firstLine="0"/>
        <w:jc w:val="both"/>
        <w:rPr>
          <w:b/>
          <w:bCs/>
          <w:i/>
          <w:iCs/>
          <w:szCs w:val="24"/>
        </w:rPr>
      </w:pPr>
      <w:r w:rsidRPr="00824BC0">
        <w:rPr>
          <w:b/>
          <w:bCs/>
          <w:i/>
          <w:iCs/>
          <w:szCs w:val="24"/>
        </w:rPr>
        <w:t>The e</w:t>
      </w:r>
      <w:r w:rsidR="00742B6D" w:rsidRPr="00824BC0">
        <w:rPr>
          <w:b/>
          <w:bCs/>
          <w:i/>
          <w:iCs/>
          <w:szCs w:val="24"/>
        </w:rPr>
        <w:t xml:space="preserve">rroneous recognition of School Fees and other income as Other Payables instead of Revenues resulted in the overstatement of the </w:t>
      </w:r>
      <w:r w:rsidRPr="00824BC0">
        <w:rPr>
          <w:b/>
          <w:bCs/>
          <w:i/>
          <w:iCs/>
          <w:szCs w:val="24"/>
        </w:rPr>
        <w:t xml:space="preserve">Liabilities </w:t>
      </w:r>
      <w:r w:rsidR="00742B6D" w:rsidRPr="00824BC0">
        <w:rPr>
          <w:b/>
          <w:bCs/>
          <w:i/>
          <w:iCs/>
          <w:szCs w:val="24"/>
        </w:rPr>
        <w:t xml:space="preserve">account by ₱8,805,377.10. Inversely, Revenues/Accumulated Surplus (Deficit) was understated by the same amount, inconsistent with the provisions of the Government Accounting Manual </w:t>
      </w:r>
      <w:r w:rsidR="008017C3" w:rsidRPr="00824BC0">
        <w:rPr>
          <w:b/>
          <w:bCs/>
          <w:i/>
          <w:iCs/>
          <w:szCs w:val="24"/>
        </w:rPr>
        <w:t xml:space="preserve">(GAM) </w:t>
      </w:r>
      <w:r w:rsidR="00742B6D" w:rsidRPr="00824BC0">
        <w:rPr>
          <w:b/>
          <w:bCs/>
          <w:i/>
          <w:iCs/>
          <w:szCs w:val="24"/>
        </w:rPr>
        <w:t xml:space="preserve">for National Government Agencies (NGAs), Volumes I and III, affecting the fair presentation of the Liabilities and Equity accounts in the year-end financial statements.  </w:t>
      </w:r>
    </w:p>
    <w:p w14:paraId="2E63CDF8" w14:textId="77777777" w:rsidR="00742B6D" w:rsidRPr="00824BC0" w:rsidRDefault="00742B6D" w:rsidP="00742B6D">
      <w:pPr>
        <w:spacing w:after="0" w:line="240" w:lineRule="auto"/>
        <w:jc w:val="both"/>
        <w:rPr>
          <w:rFonts w:ascii="Times New Roman" w:hAnsi="Times New Roman" w:cs="Times New Roman"/>
          <w:b/>
          <w:bCs/>
          <w:sz w:val="24"/>
          <w:szCs w:val="24"/>
        </w:rPr>
      </w:pPr>
    </w:p>
    <w:p w14:paraId="784469B6" w14:textId="6FCC3BC7" w:rsidR="00742B6D" w:rsidRPr="00824BC0" w:rsidRDefault="00742B6D" w:rsidP="00742B6D">
      <w:pPr>
        <w:pStyle w:val="ListParagraph"/>
        <w:numPr>
          <w:ilvl w:val="1"/>
          <w:numId w:val="5"/>
        </w:numPr>
        <w:ind w:left="0" w:firstLine="0"/>
        <w:jc w:val="both"/>
        <w:rPr>
          <w:szCs w:val="24"/>
        </w:rPr>
      </w:pPr>
      <w:r w:rsidRPr="00824BC0">
        <w:rPr>
          <w:bCs/>
          <w:szCs w:val="24"/>
        </w:rPr>
        <w:t>Pertinent provisions of</w:t>
      </w:r>
      <w:r w:rsidRPr="00824BC0">
        <w:rPr>
          <w:b/>
          <w:bCs/>
          <w:szCs w:val="24"/>
        </w:rPr>
        <w:t xml:space="preserve"> </w:t>
      </w:r>
      <w:r w:rsidRPr="00824BC0">
        <w:rPr>
          <w:bCs/>
          <w:szCs w:val="24"/>
        </w:rPr>
        <w:t>Section 6, Chapter 19 of</w:t>
      </w:r>
      <w:r w:rsidRPr="00824BC0">
        <w:rPr>
          <w:b/>
          <w:bCs/>
          <w:szCs w:val="24"/>
        </w:rPr>
        <w:t xml:space="preserve"> </w:t>
      </w:r>
      <w:r w:rsidRPr="00824BC0">
        <w:rPr>
          <w:szCs w:val="24"/>
        </w:rPr>
        <w:t xml:space="preserve">the Government Accounting Manual </w:t>
      </w:r>
      <w:r w:rsidR="008017C3" w:rsidRPr="00824BC0">
        <w:rPr>
          <w:szCs w:val="24"/>
        </w:rPr>
        <w:t xml:space="preserve">(GAM) </w:t>
      </w:r>
      <w:r w:rsidRPr="00824BC0">
        <w:rPr>
          <w:szCs w:val="24"/>
        </w:rPr>
        <w:t xml:space="preserve">for </w:t>
      </w:r>
      <w:r w:rsidR="008017C3" w:rsidRPr="00824BC0">
        <w:rPr>
          <w:szCs w:val="24"/>
        </w:rPr>
        <w:t>National Government Agencies</w:t>
      </w:r>
      <w:r w:rsidRPr="00824BC0">
        <w:rPr>
          <w:szCs w:val="24"/>
        </w:rPr>
        <w:t xml:space="preserve"> (NGAs), Volume I, provides the following Qualitative Characteristics of Financial Reporting:</w:t>
      </w:r>
    </w:p>
    <w:p w14:paraId="731E958D" w14:textId="77777777" w:rsidR="00742B6D" w:rsidRPr="00824BC0" w:rsidRDefault="00742B6D" w:rsidP="00742B6D">
      <w:pPr>
        <w:spacing w:after="0" w:line="240" w:lineRule="auto"/>
        <w:jc w:val="both"/>
        <w:rPr>
          <w:rFonts w:ascii="Times New Roman" w:hAnsi="Times New Roman" w:cs="Times New Roman"/>
          <w:sz w:val="24"/>
          <w:szCs w:val="24"/>
        </w:rPr>
      </w:pPr>
    </w:p>
    <w:p w14:paraId="775C2C8B" w14:textId="77777777" w:rsidR="00742B6D" w:rsidRPr="00824BC0" w:rsidRDefault="00742B6D" w:rsidP="00E72A07">
      <w:pPr>
        <w:spacing w:after="0" w:line="240" w:lineRule="auto"/>
        <w:ind w:left="720" w:right="1080"/>
        <w:jc w:val="both"/>
        <w:rPr>
          <w:rFonts w:ascii="Times New Roman" w:hAnsi="Times New Roman" w:cs="Times New Roman"/>
          <w:i/>
          <w:sz w:val="24"/>
          <w:szCs w:val="24"/>
        </w:rPr>
      </w:pPr>
      <w:r w:rsidRPr="00824BC0">
        <w:rPr>
          <w:rFonts w:ascii="Times New Roman" w:hAnsi="Times New Roman" w:cs="Times New Roman"/>
          <w:i/>
          <w:sz w:val="24"/>
          <w:szCs w:val="24"/>
        </w:rPr>
        <w:t>e. Reliability – reliable information is free from material error and bias, and can be depended on by users to represent faithfully that which it purports to represent or could reasonably be expected to represent;</w:t>
      </w:r>
    </w:p>
    <w:p w14:paraId="2625C71C" w14:textId="77777777" w:rsidR="00742B6D" w:rsidRPr="00824BC0" w:rsidRDefault="00742B6D" w:rsidP="00E72A07">
      <w:pPr>
        <w:spacing w:after="0" w:line="240" w:lineRule="auto"/>
        <w:ind w:left="720" w:right="1080"/>
        <w:jc w:val="both"/>
        <w:rPr>
          <w:rFonts w:ascii="Times New Roman" w:hAnsi="Times New Roman" w:cs="Times New Roman"/>
          <w:i/>
          <w:sz w:val="24"/>
          <w:szCs w:val="24"/>
        </w:rPr>
      </w:pPr>
    </w:p>
    <w:p w14:paraId="12544555" w14:textId="77777777" w:rsidR="00742B6D" w:rsidRPr="00824BC0" w:rsidRDefault="00742B6D" w:rsidP="00E72A07">
      <w:pPr>
        <w:spacing w:after="0" w:line="240" w:lineRule="auto"/>
        <w:ind w:left="720" w:right="1080"/>
        <w:jc w:val="both"/>
        <w:rPr>
          <w:rFonts w:ascii="Times New Roman" w:hAnsi="Times New Roman" w:cs="Times New Roman"/>
          <w:i/>
          <w:sz w:val="24"/>
          <w:szCs w:val="24"/>
        </w:rPr>
      </w:pPr>
      <w:r w:rsidRPr="00824BC0">
        <w:rPr>
          <w:rFonts w:ascii="Times New Roman" w:hAnsi="Times New Roman" w:cs="Times New Roman"/>
          <w:i/>
          <w:sz w:val="24"/>
          <w:szCs w:val="24"/>
        </w:rPr>
        <w:t>f. Faithful representation – information to represent faithfully transactions and other events, it should be presented in accordance with the substance of the transactions and other events, and not merely their legal form</w:t>
      </w:r>
    </w:p>
    <w:p w14:paraId="45F47E48" w14:textId="77777777" w:rsidR="00742B6D" w:rsidRPr="00824BC0" w:rsidRDefault="00742B6D" w:rsidP="00742B6D">
      <w:pPr>
        <w:spacing w:after="0" w:line="240" w:lineRule="auto"/>
        <w:jc w:val="both"/>
        <w:rPr>
          <w:rFonts w:ascii="Times New Roman" w:hAnsi="Times New Roman" w:cs="Times New Roman"/>
          <w:sz w:val="24"/>
          <w:szCs w:val="24"/>
        </w:rPr>
      </w:pPr>
    </w:p>
    <w:p w14:paraId="4F9D7708" w14:textId="3DEC6B6A" w:rsidR="00742B6D" w:rsidRPr="00824BC0" w:rsidRDefault="00742B6D" w:rsidP="008017C3">
      <w:pPr>
        <w:pStyle w:val="ListParagraph"/>
        <w:numPr>
          <w:ilvl w:val="1"/>
          <w:numId w:val="5"/>
        </w:numPr>
        <w:ind w:left="0" w:firstLine="0"/>
        <w:jc w:val="both"/>
        <w:rPr>
          <w:szCs w:val="24"/>
        </w:rPr>
      </w:pPr>
      <w:r w:rsidRPr="00824BC0">
        <w:rPr>
          <w:bCs/>
          <w:szCs w:val="24"/>
        </w:rPr>
        <w:t>In addition,</w:t>
      </w:r>
      <w:r w:rsidRPr="00824BC0">
        <w:rPr>
          <w:b/>
          <w:bCs/>
          <w:szCs w:val="24"/>
        </w:rPr>
        <w:t xml:space="preserve"> </w:t>
      </w:r>
      <w:r w:rsidRPr="00824BC0">
        <w:rPr>
          <w:szCs w:val="24"/>
        </w:rPr>
        <w:t>Section 2, paragraph (j) of the Manual defines Obligation as follows:</w:t>
      </w:r>
    </w:p>
    <w:p w14:paraId="66EC56CE" w14:textId="77777777" w:rsidR="00742B6D" w:rsidRPr="00824BC0" w:rsidRDefault="00742B6D" w:rsidP="00742B6D">
      <w:pPr>
        <w:spacing w:after="0" w:line="240" w:lineRule="auto"/>
        <w:jc w:val="both"/>
        <w:rPr>
          <w:rFonts w:ascii="Times New Roman" w:hAnsi="Times New Roman" w:cs="Times New Roman"/>
          <w:sz w:val="24"/>
          <w:szCs w:val="24"/>
          <w:lang w:val="en-US"/>
        </w:rPr>
      </w:pPr>
    </w:p>
    <w:p w14:paraId="13CB0211" w14:textId="77777777" w:rsidR="00742B6D" w:rsidRPr="00824BC0" w:rsidRDefault="00742B6D" w:rsidP="00E72A07">
      <w:pPr>
        <w:spacing w:after="0" w:line="240" w:lineRule="auto"/>
        <w:ind w:left="720" w:right="1080"/>
        <w:jc w:val="both"/>
        <w:rPr>
          <w:rFonts w:ascii="Times New Roman" w:hAnsi="Times New Roman" w:cs="Times New Roman"/>
          <w:i/>
          <w:iCs/>
          <w:sz w:val="24"/>
          <w:szCs w:val="24"/>
        </w:rPr>
      </w:pPr>
      <w:r w:rsidRPr="00824BC0">
        <w:rPr>
          <w:rFonts w:ascii="Times New Roman" w:hAnsi="Times New Roman" w:cs="Times New Roman"/>
          <w:i/>
          <w:iCs/>
          <w:sz w:val="24"/>
          <w:szCs w:val="24"/>
        </w:rPr>
        <w:t>Obligation – is an act of a duly authorized official which binds the government to the immediate or eventual payment of a sum of money. Obligation maybe referred to as a commitment that encompasses possible future liabilities based on current contractual agreement.</w:t>
      </w:r>
    </w:p>
    <w:p w14:paraId="6E1B08DC" w14:textId="77777777" w:rsidR="00742B6D" w:rsidRPr="00824BC0" w:rsidRDefault="00742B6D" w:rsidP="00742B6D">
      <w:pPr>
        <w:spacing w:after="0" w:line="240" w:lineRule="auto"/>
        <w:jc w:val="both"/>
        <w:rPr>
          <w:rFonts w:ascii="Times New Roman" w:hAnsi="Times New Roman" w:cs="Times New Roman"/>
          <w:b/>
          <w:bCs/>
          <w:sz w:val="24"/>
          <w:szCs w:val="24"/>
        </w:rPr>
      </w:pPr>
    </w:p>
    <w:p w14:paraId="1E2FD317" w14:textId="58B5F598" w:rsidR="00742B6D" w:rsidRPr="00824BC0" w:rsidRDefault="00742B6D" w:rsidP="008017C3">
      <w:pPr>
        <w:pStyle w:val="ListParagraph"/>
        <w:numPr>
          <w:ilvl w:val="1"/>
          <w:numId w:val="5"/>
        </w:numPr>
        <w:ind w:left="0" w:firstLine="0"/>
        <w:jc w:val="both"/>
        <w:rPr>
          <w:szCs w:val="24"/>
        </w:rPr>
      </w:pPr>
      <w:r w:rsidRPr="00824BC0">
        <w:rPr>
          <w:szCs w:val="24"/>
        </w:rPr>
        <w:t xml:space="preserve">Meanwhile, according to Section 2, paragraph (l) of the same Manual, Revenues are, </w:t>
      </w:r>
      <w:r w:rsidRPr="00824BC0">
        <w:rPr>
          <w:i/>
          <w:iCs/>
          <w:szCs w:val="24"/>
        </w:rPr>
        <w:t>increases in economic benefits or service potential during the accounting period in the form of inflows or increases of assets or decreases of liabilities that result in increases in net assets/equity, other than those relating to contributions from owners.</w:t>
      </w:r>
    </w:p>
    <w:p w14:paraId="2BC1D3E0" w14:textId="77777777" w:rsidR="00742B6D" w:rsidRPr="00824BC0" w:rsidRDefault="00742B6D" w:rsidP="00742B6D">
      <w:pPr>
        <w:spacing w:after="0" w:line="240" w:lineRule="auto"/>
        <w:jc w:val="both"/>
        <w:rPr>
          <w:rFonts w:ascii="Times New Roman" w:hAnsi="Times New Roman" w:cs="Times New Roman"/>
          <w:b/>
          <w:bCs/>
          <w:sz w:val="24"/>
          <w:szCs w:val="24"/>
        </w:rPr>
      </w:pPr>
    </w:p>
    <w:p w14:paraId="45EA0CE5" w14:textId="642057B5" w:rsidR="00742B6D" w:rsidRPr="00824BC0" w:rsidRDefault="00742B6D" w:rsidP="008017C3">
      <w:pPr>
        <w:pStyle w:val="ListParagraph"/>
        <w:numPr>
          <w:ilvl w:val="1"/>
          <w:numId w:val="5"/>
        </w:numPr>
        <w:ind w:left="0" w:firstLine="0"/>
        <w:jc w:val="both"/>
        <w:rPr>
          <w:szCs w:val="24"/>
        </w:rPr>
      </w:pPr>
      <w:r w:rsidRPr="00824BC0">
        <w:rPr>
          <w:szCs w:val="24"/>
        </w:rPr>
        <w:t>The Other Payables account of the Bulacan Agricultural State College (BASC) had a reported balance of ₱8,944,31</w:t>
      </w:r>
      <w:r w:rsidR="00B04918" w:rsidRPr="00824BC0">
        <w:rPr>
          <w:szCs w:val="24"/>
        </w:rPr>
        <w:t>1</w:t>
      </w:r>
      <w:r w:rsidRPr="00824BC0">
        <w:rPr>
          <w:szCs w:val="24"/>
        </w:rPr>
        <w:t>.</w:t>
      </w:r>
      <w:r w:rsidR="00B04918" w:rsidRPr="00824BC0">
        <w:rPr>
          <w:szCs w:val="24"/>
        </w:rPr>
        <w:t>8</w:t>
      </w:r>
      <w:r w:rsidRPr="00824BC0">
        <w:rPr>
          <w:szCs w:val="24"/>
        </w:rPr>
        <w:t>5 as of December 31, 2021, broken down as follows:</w:t>
      </w:r>
    </w:p>
    <w:p w14:paraId="3EFD82D6" w14:textId="77777777" w:rsidR="00742B6D" w:rsidRPr="00824BC0" w:rsidRDefault="00742B6D" w:rsidP="00742B6D">
      <w:pPr>
        <w:spacing w:after="0" w:line="240" w:lineRule="auto"/>
        <w:jc w:val="both"/>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5400"/>
        <w:gridCol w:w="3150"/>
      </w:tblGrid>
      <w:tr w:rsidR="00742B6D" w:rsidRPr="00824BC0" w14:paraId="15859368" w14:textId="77777777" w:rsidTr="00E72A07">
        <w:tc>
          <w:tcPr>
            <w:tcW w:w="5400" w:type="dxa"/>
          </w:tcPr>
          <w:p w14:paraId="1E9116D3" w14:textId="77777777" w:rsidR="00742B6D" w:rsidRPr="00824BC0" w:rsidRDefault="00742B6D" w:rsidP="00742B6D">
            <w:pPr>
              <w:jc w:val="center"/>
              <w:rPr>
                <w:rFonts w:ascii="Times New Roman" w:hAnsi="Times New Roman" w:cs="Times New Roman"/>
                <w:i/>
                <w:iCs/>
                <w:sz w:val="24"/>
                <w:szCs w:val="24"/>
              </w:rPr>
            </w:pPr>
            <w:r w:rsidRPr="00824BC0">
              <w:rPr>
                <w:rFonts w:ascii="Times New Roman" w:hAnsi="Times New Roman" w:cs="Times New Roman"/>
                <w:i/>
                <w:iCs/>
                <w:sz w:val="24"/>
                <w:szCs w:val="24"/>
              </w:rPr>
              <w:t>Particulars</w:t>
            </w:r>
          </w:p>
        </w:tc>
        <w:tc>
          <w:tcPr>
            <w:tcW w:w="3150" w:type="dxa"/>
          </w:tcPr>
          <w:p w14:paraId="3F255047" w14:textId="77777777" w:rsidR="00742B6D" w:rsidRPr="00824BC0" w:rsidRDefault="00742B6D" w:rsidP="00742B6D">
            <w:pPr>
              <w:jc w:val="center"/>
              <w:rPr>
                <w:rFonts w:ascii="Times New Roman" w:hAnsi="Times New Roman" w:cs="Times New Roman"/>
                <w:i/>
                <w:iCs/>
                <w:sz w:val="24"/>
                <w:szCs w:val="24"/>
              </w:rPr>
            </w:pPr>
            <w:r w:rsidRPr="00824BC0">
              <w:rPr>
                <w:rFonts w:ascii="Times New Roman" w:hAnsi="Times New Roman" w:cs="Times New Roman"/>
                <w:i/>
                <w:iCs/>
                <w:sz w:val="24"/>
                <w:szCs w:val="24"/>
              </w:rPr>
              <w:t>Amount</w:t>
            </w:r>
          </w:p>
        </w:tc>
      </w:tr>
      <w:tr w:rsidR="00742B6D" w:rsidRPr="00824BC0" w14:paraId="6AE9AF60" w14:textId="77777777" w:rsidTr="00E72A07">
        <w:tc>
          <w:tcPr>
            <w:tcW w:w="5400" w:type="dxa"/>
          </w:tcPr>
          <w:p w14:paraId="4074A791" w14:textId="77777777" w:rsidR="00742B6D" w:rsidRPr="00824BC0" w:rsidRDefault="00742B6D" w:rsidP="00742B6D">
            <w:pPr>
              <w:jc w:val="both"/>
              <w:rPr>
                <w:rFonts w:ascii="Times New Roman" w:hAnsi="Times New Roman" w:cs="Times New Roman"/>
                <w:sz w:val="24"/>
                <w:szCs w:val="24"/>
              </w:rPr>
            </w:pPr>
            <w:r w:rsidRPr="00824BC0">
              <w:rPr>
                <w:rFonts w:ascii="Times New Roman" w:hAnsi="Times New Roman" w:cs="Times New Roman"/>
                <w:sz w:val="24"/>
                <w:szCs w:val="24"/>
              </w:rPr>
              <w:t>Special Trust Fund (STF – Fund 164)</w:t>
            </w:r>
          </w:p>
        </w:tc>
        <w:tc>
          <w:tcPr>
            <w:tcW w:w="3150" w:type="dxa"/>
          </w:tcPr>
          <w:p w14:paraId="564D34A6" w14:textId="77777777" w:rsidR="00742B6D" w:rsidRPr="00824BC0" w:rsidRDefault="00742B6D" w:rsidP="00742B6D">
            <w:pPr>
              <w:jc w:val="right"/>
              <w:rPr>
                <w:rFonts w:ascii="Times New Roman" w:hAnsi="Times New Roman" w:cs="Times New Roman"/>
                <w:sz w:val="24"/>
                <w:szCs w:val="24"/>
              </w:rPr>
            </w:pPr>
            <w:r w:rsidRPr="00824BC0">
              <w:rPr>
                <w:rFonts w:ascii="Times New Roman" w:hAnsi="Times New Roman" w:cs="Times New Roman"/>
                <w:sz w:val="24"/>
                <w:szCs w:val="24"/>
              </w:rPr>
              <w:t xml:space="preserve"> ₱ 4,084,208.16 </w:t>
            </w:r>
          </w:p>
        </w:tc>
      </w:tr>
      <w:tr w:rsidR="00742B6D" w:rsidRPr="00824BC0" w14:paraId="7B5948F5" w14:textId="77777777" w:rsidTr="00E72A07">
        <w:tc>
          <w:tcPr>
            <w:tcW w:w="5400" w:type="dxa"/>
          </w:tcPr>
          <w:p w14:paraId="21F9E55F" w14:textId="77777777" w:rsidR="00742B6D" w:rsidRPr="00824BC0" w:rsidRDefault="00742B6D" w:rsidP="00742B6D">
            <w:pPr>
              <w:jc w:val="both"/>
              <w:rPr>
                <w:rFonts w:ascii="Times New Roman" w:hAnsi="Times New Roman" w:cs="Times New Roman"/>
                <w:sz w:val="24"/>
                <w:szCs w:val="24"/>
              </w:rPr>
            </w:pPr>
            <w:r w:rsidRPr="00824BC0">
              <w:rPr>
                <w:rFonts w:ascii="Times New Roman" w:hAnsi="Times New Roman" w:cs="Times New Roman"/>
                <w:sz w:val="24"/>
                <w:szCs w:val="24"/>
              </w:rPr>
              <w:t>Other Payables - Miscellaneous (Fund 164)</w:t>
            </w:r>
          </w:p>
        </w:tc>
        <w:tc>
          <w:tcPr>
            <w:tcW w:w="3150" w:type="dxa"/>
          </w:tcPr>
          <w:p w14:paraId="0AE12BC8" w14:textId="77777777" w:rsidR="00742B6D" w:rsidRPr="00824BC0" w:rsidRDefault="00742B6D" w:rsidP="00742B6D">
            <w:pPr>
              <w:jc w:val="right"/>
              <w:rPr>
                <w:rFonts w:ascii="Times New Roman" w:hAnsi="Times New Roman" w:cs="Times New Roman"/>
                <w:sz w:val="24"/>
                <w:szCs w:val="24"/>
              </w:rPr>
            </w:pPr>
            <w:r w:rsidRPr="00824BC0">
              <w:rPr>
                <w:rFonts w:ascii="Times New Roman" w:hAnsi="Times New Roman" w:cs="Times New Roman"/>
                <w:sz w:val="24"/>
                <w:szCs w:val="24"/>
              </w:rPr>
              <w:t xml:space="preserve"> 3,332,712.10 </w:t>
            </w:r>
          </w:p>
        </w:tc>
      </w:tr>
      <w:tr w:rsidR="00742B6D" w:rsidRPr="00824BC0" w14:paraId="27020D42" w14:textId="77777777" w:rsidTr="00E72A07">
        <w:tc>
          <w:tcPr>
            <w:tcW w:w="5400" w:type="dxa"/>
          </w:tcPr>
          <w:p w14:paraId="2B50CCC7" w14:textId="77777777" w:rsidR="00742B6D" w:rsidRPr="00824BC0" w:rsidRDefault="00742B6D" w:rsidP="00742B6D">
            <w:pPr>
              <w:jc w:val="center"/>
              <w:rPr>
                <w:rFonts w:ascii="Times New Roman" w:hAnsi="Times New Roman" w:cs="Times New Roman"/>
                <w:b/>
                <w:bCs/>
                <w:sz w:val="24"/>
                <w:szCs w:val="24"/>
              </w:rPr>
            </w:pPr>
            <w:r w:rsidRPr="00824BC0">
              <w:rPr>
                <w:rFonts w:ascii="Times New Roman" w:hAnsi="Times New Roman" w:cs="Times New Roman"/>
                <w:b/>
                <w:bCs/>
                <w:sz w:val="24"/>
                <w:szCs w:val="24"/>
              </w:rPr>
              <w:t>Sub-total</w:t>
            </w:r>
          </w:p>
        </w:tc>
        <w:tc>
          <w:tcPr>
            <w:tcW w:w="3150" w:type="dxa"/>
          </w:tcPr>
          <w:p w14:paraId="55CCA5D0" w14:textId="77777777" w:rsidR="00742B6D" w:rsidRPr="00824BC0" w:rsidRDefault="00742B6D" w:rsidP="00742B6D">
            <w:pPr>
              <w:jc w:val="right"/>
              <w:rPr>
                <w:rFonts w:ascii="Times New Roman" w:hAnsi="Times New Roman" w:cs="Times New Roman"/>
                <w:b/>
                <w:bCs/>
                <w:sz w:val="24"/>
                <w:szCs w:val="24"/>
              </w:rPr>
            </w:pPr>
            <w:r w:rsidRPr="00824BC0">
              <w:rPr>
                <w:rFonts w:ascii="Times New Roman" w:hAnsi="Times New Roman" w:cs="Times New Roman"/>
                <w:b/>
                <w:bCs/>
                <w:sz w:val="24"/>
                <w:szCs w:val="24"/>
              </w:rPr>
              <w:t>7,416,920.26</w:t>
            </w:r>
          </w:p>
        </w:tc>
      </w:tr>
      <w:tr w:rsidR="00742B6D" w:rsidRPr="00824BC0" w14:paraId="7A881174" w14:textId="77777777" w:rsidTr="00E72A07">
        <w:tc>
          <w:tcPr>
            <w:tcW w:w="5400" w:type="dxa"/>
          </w:tcPr>
          <w:p w14:paraId="14C357A6" w14:textId="77777777" w:rsidR="00742B6D" w:rsidRPr="00824BC0" w:rsidRDefault="00742B6D" w:rsidP="00742B6D">
            <w:pPr>
              <w:jc w:val="both"/>
              <w:rPr>
                <w:rFonts w:ascii="Times New Roman" w:hAnsi="Times New Roman" w:cs="Times New Roman"/>
                <w:sz w:val="24"/>
                <w:szCs w:val="24"/>
              </w:rPr>
            </w:pPr>
            <w:r w:rsidRPr="00824BC0">
              <w:rPr>
                <w:rFonts w:ascii="Times New Roman" w:hAnsi="Times New Roman" w:cs="Times New Roman"/>
                <w:sz w:val="24"/>
                <w:szCs w:val="24"/>
              </w:rPr>
              <w:t>Income Generating Projects (IGP - Fund 161)</w:t>
            </w:r>
          </w:p>
        </w:tc>
        <w:tc>
          <w:tcPr>
            <w:tcW w:w="3150" w:type="dxa"/>
          </w:tcPr>
          <w:p w14:paraId="25063766" w14:textId="12586B03" w:rsidR="00742B6D" w:rsidRPr="00824BC0" w:rsidRDefault="00742B6D" w:rsidP="00742B6D">
            <w:pPr>
              <w:jc w:val="right"/>
              <w:rPr>
                <w:rFonts w:ascii="Times New Roman" w:hAnsi="Times New Roman" w:cs="Times New Roman"/>
                <w:sz w:val="24"/>
                <w:szCs w:val="24"/>
              </w:rPr>
            </w:pPr>
            <w:r w:rsidRPr="00824BC0">
              <w:rPr>
                <w:rFonts w:ascii="Times New Roman" w:hAnsi="Times New Roman" w:cs="Times New Roman"/>
                <w:sz w:val="24"/>
                <w:szCs w:val="24"/>
              </w:rPr>
              <w:t xml:space="preserve"> 1,527,39</w:t>
            </w:r>
            <w:r w:rsidR="009E1C2C" w:rsidRPr="00824BC0">
              <w:rPr>
                <w:rFonts w:ascii="Times New Roman" w:hAnsi="Times New Roman" w:cs="Times New Roman"/>
                <w:sz w:val="24"/>
                <w:szCs w:val="24"/>
              </w:rPr>
              <w:t>1</w:t>
            </w:r>
            <w:r w:rsidRPr="00824BC0">
              <w:rPr>
                <w:rFonts w:ascii="Times New Roman" w:hAnsi="Times New Roman" w:cs="Times New Roman"/>
                <w:sz w:val="24"/>
                <w:szCs w:val="24"/>
              </w:rPr>
              <w:t>.</w:t>
            </w:r>
            <w:r w:rsidR="009E1C2C" w:rsidRPr="00824BC0">
              <w:rPr>
                <w:rFonts w:ascii="Times New Roman" w:hAnsi="Times New Roman" w:cs="Times New Roman"/>
                <w:sz w:val="24"/>
                <w:szCs w:val="24"/>
              </w:rPr>
              <w:t>5</w:t>
            </w:r>
            <w:r w:rsidRPr="00824BC0">
              <w:rPr>
                <w:rFonts w:ascii="Times New Roman" w:hAnsi="Times New Roman" w:cs="Times New Roman"/>
                <w:sz w:val="24"/>
                <w:szCs w:val="24"/>
              </w:rPr>
              <w:t xml:space="preserve">9 </w:t>
            </w:r>
          </w:p>
        </w:tc>
      </w:tr>
      <w:tr w:rsidR="00742B6D" w:rsidRPr="00824BC0" w14:paraId="4E73B76A" w14:textId="77777777" w:rsidTr="00E72A07">
        <w:tc>
          <w:tcPr>
            <w:tcW w:w="5400" w:type="dxa"/>
          </w:tcPr>
          <w:p w14:paraId="51128155" w14:textId="77777777" w:rsidR="00742B6D" w:rsidRPr="00824BC0" w:rsidRDefault="00742B6D" w:rsidP="00742B6D">
            <w:pPr>
              <w:jc w:val="center"/>
              <w:rPr>
                <w:rFonts w:ascii="Times New Roman" w:hAnsi="Times New Roman" w:cs="Times New Roman"/>
                <w:b/>
                <w:bCs/>
                <w:sz w:val="24"/>
                <w:szCs w:val="24"/>
              </w:rPr>
            </w:pPr>
            <w:r w:rsidRPr="00824BC0">
              <w:rPr>
                <w:rFonts w:ascii="Times New Roman" w:hAnsi="Times New Roman" w:cs="Times New Roman"/>
                <w:b/>
                <w:bCs/>
                <w:sz w:val="24"/>
                <w:szCs w:val="24"/>
              </w:rPr>
              <w:t>TOTAL</w:t>
            </w:r>
          </w:p>
        </w:tc>
        <w:tc>
          <w:tcPr>
            <w:tcW w:w="3150" w:type="dxa"/>
          </w:tcPr>
          <w:p w14:paraId="4DF86CD3" w14:textId="3B2EB7CD" w:rsidR="00742B6D" w:rsidRPr="00824BC0" w:rsidRDefault="00742B6D" w:rsidP="00742B6D">
            <w:pPr>
              <w:jc w:val="right"/>
              <w:rPr>
                <w:rFonts w:ascii="Times New Roman" w:hAnsi="Times New Roman" w:cs="Times New Roman"/>
                <w:b/>
                <w:bCs/>
                <w:sz w:val="24"/>
                <w:szCs w:val="24"/>
              </w:rPr>
            </w:pPr>
            <w:r w:rsidRPr="00824BC0">
              <w:rPr>
                <w:rFonts w:ascii="Times New Roman" w:hAnsi="Times New Roman" w:cs="Times New Roman"/>
                <w:b/>
                <w:bCs/>
                <w:sz w:val="24"/>
                <w:szCs w:val="24"/>
              </w:rPr>
              <w:t xml:space="preserve"> ₱ 8,944,31</w:t>
            </w:r>
            <w:r w:rsidR="009E1C2C" w:rsidRPr="00824BC0">
              <w:rPr>
                <w:rFonts w:ascii="Times New Roman" w:hAnsi="Times New Roman" w:cs="Times New Roman"/>
                <w:b/>
                <w:bCs/>
                <w:sz w:val="24"/>
                <w:szCs w:val="24"/>
              </w:rPr>
              <w:t>1</w:t>
            </w:r>
            <w:r w:rsidRPr="00824BC0">
              <w:rPr>
                <w:rFonts w:ascii="Times New Roman" w:hAnsi="Times New Roman" w:cs="Times New Roman"/>
                <w:b/>
                <w:bCs/>
                <w:sz w:val="24"/>
                <w:szCs w:val="24"/>
              </w:rPr>
              <w:t>.</w:t>
            </w:r>
            <w:r w:rsidR="009E1C2C" w:rsidRPr="00824BC0">
              <w:rPr>
                <w:rFonts w:ascii="Times New Roman" w:hAnsi="Times New Roman" w:cs="Times New Roman"/>
                <w:b/>
                <w:bCs/>
                <w:sz w:val="24"/>
                <w:szCs w:val="24"/>
              </w:rPr>
              <w:t>8</w:t>
            </w:r>
            <w:r w:rsidRPr="00824BC0">
              <w:rPr>
                <w:rFonts w:ascii="Times New Roman" w:hAnsi="Times New Roman" w:cs="Times New Roman"/>
                <w:b/>
                <w:bCs/>
                <w:sz w:val="24"/>
                <w:szCs w:val="24"/>
              </w:rPr>
              <w:t xml:space="preserve">5 </w:t>
            </w:r>
          </w:p>
        </w:tc>
      </w:tr>
    </w:tbl>
    <w:p w14:paraId="48503267" w14:textId="77777777" w:rsidR="00742B6D" w:rsidRPr="00824BC0" w:rsidRDefault="00742B6D" w:rsidP="00742B6D">
      <w:pPr>
        <w:spacing w:after="0" w:line="240" w:lineRule="auto"/>
        <w:jc w:val="both"/>
        <w:rPr>
          <w:rFonts w:ascii="Times New Roman" w:hAnsi="Times New Roman" w:cs="Times New Roman"/>
          <w:sz w:val="24"/>
          <w:szCs w:val="24"/>
        </w:rPr>
      </w:pPr>
    </w:p>
    <w:p w14:paraId="47AA6B8A" w14:textId="3819EB1B" w:rsidR="00742B6D" w:rsidRPr="00824BC0" w:rsidRDefault="00742B6D" w:rsidP="008017C3">
      <w:pPr>
        <w:pStyle w:val="ListParagraph"/>
        <w:numPr>
          <w:ilvl w:val="1"/>
          <w:numId w:val="5"/>
        </w:numPr>
        <w:ind w:left="0" w:firstLine="0"/>
        <w:jc w:val="both"/>
        <w:rPr>
          <w:szCs w:val="24"/>
        </w:rPr>
      </w:pPr>
      <w:r w:rsidRPr="00824BC0">
        <w:rPr>
          <w:szCs w:val="24"/>
        </w:rPr>
        <w:lastRenderedPageBreak/>
        <w:t>Analysis of the details of the account revealed various transactions which, by their very nature, were not obligations or payables as they did not bind the College to the immediate or eventual sum of money but were recognized as Other Payables in the books.  Further scrutiny disclosed that these transactions were receipts from various sources, such as collections of school fees from students and from the Commission on Higher Education (CHED) in relation to the implementation of Republic Act (R.A.) No. 10931 or the Universal Tertiary Education Act.  Section 12 of the Implementing Rules and Regulations of R.A. 10931 pronounces that:</w:t>
      </w:r>
    </w:p>
    <w:p w14:paraId="6FEC69F7" w14:textId="77777777" w:rsidR="00742B6D" w:rsidRPr="00824BC0" w:rsidRDefault="00742B6D" w:rsidP="00742B6D">
      <w:pPr>
        <w:spacing w:after="0" w:line="240" w:lineRule="auto"/>
        <w:jc w:val="both"/>
        <w:rPr>
          <w:rFonts w:ascii="Times New Roman" w:hAnsi="Times New Roman" w:cs="Times New Roman"/>
          <w:sz w:val="24"/>
          <w:szCs w:val="24"/>
        </w:rPr>
      </w:pPr>
    </w:p>
    <w:p w14:paraId="5BAA2AF4" w14:textId="77777777" w:rsidR="00742B6D" w:rsidRPr="00824BC0" w:rsidRDefault="00742B6D" w:rsidP="00E72A07">
      <w:pPr>
        <w:spacing w:after="0" w:line="240" w:lineRule="auto"/>
        <w:ind w:left="720" w:right="1080"/>
        <w:jc w:val="both"/>
        <w:rPr>
          <w:rFonts w:ascii="Times New Roman" w:hAnsi="Times New Roman" w:cs="Times New Roman"/>
          <w:i/>
          <w:sz w:val="24"/>
          <w:szCs w:val="24"/>
        </w:rPr>
      </w:pPr>
      <w:r w:rsidRPr="00824BC0">
        <w:rPr>
          <w:rFonts w:ascii="Times New Roman" w:hAnsi="Times New Roman" w:cs="Times New Roman"/>
          <w:b/>
          <w:i/>
          <w:sz w:val="24"/>
          <w:szCs w:val="24"/>
        </w:rPr>
        <w:t>Appropriation.</w:t>
      </w:r>
      <w:r w:rsidRPr="00824BC0">
        <w:rPr>
          <w:rFonts w:ascii="Times New Roman" w:hAnsi="Times New Roman" w:cs="Times New Roman"/>
          <w:i/>
          <w:sz w:val="24"/>
          <w:szCs w:val="24"/>
        </w:rPr>
        <w:t xml:space="preserve"> The amounts necessary to carry out the provisions of the Free Higher Education benefit in SUCs and LUCs shall be included in the annual General Appropriations Act (GAA) and shall be appropriated under SUCs and, in the case of LUCs, under the CHED, subject to the transitory provisions in Section 52 of the IRR.</w:t>
      </w:r>
    </w:p>
    <w:p w14:paraId="2A3EC728" w14:textId="77777777" w:rsidR="00742B6D" w:rsidRPr="00824BC0" w:rsidRDefault="00742B6D" w:rsidP="00E72A07">
      <w:pPr>
        <w:spacing w:after="0" w:line="240" w:lineRule="auto"/>
        <w:ind w:left="720" w:right="1080"/>
        <w:jc w:val="both"/>
        <w:rPr>
          <w:rFonts w:ascii="Times New Roman" w:hAnsi="Times New Roman" w:cs="Times New Roman"/>
          <w:i/>
          <w:sz w:val="24"/>
          <w:szCs w:val="24"/>
        </w:rPr>
      </w:pPr>
    </w:p>
    <w:p w14:paraId="456B0E51" w14:textId="77777777" w:rsidR="00742B6D" w:rsidRPr="00824BC0" w:rsidRDefault="00742B6D" w:rsidP="00E72A07">
      <w:pPr>
        <w:spacing w:after="0" w:line="240" w:lineRule="auto"/>
        <w:ind w:left="720" w:right="1080"/>
        <w:jc w:val="both"/>
        <w:rPr>
          <w:rFonts w:ascii="Times New Roman" w:hAnsi="Times New Roman" w:cs="Times New Roman"/>
          <w:i/>
          <w:sz w:val="24"/>
          <w:szCs w:val="24"/>
        </w:rPr>
      </w:pPr>
      <w:r w:rsidRPr="00824BC0">
        <w:rPr>
          <w:rFonts w:ascii="Times New Roman" w:hAnsi="Times New Roman" w:cs="Times New Roman"/>
          <w:b/>
          <w:i/>
          <w:sz w:val="24"/>
          <w:szCs w:val="24"/>
        </w:rPr>
        <w:t xml:space="preserve">In the case that the appropriations for the free higher education provision is lodged in CHED, payments by CHED to SUCs and LUCs shall be booked up as income of the institutions. </w:t>
      </w:r>
      <w:r w:rsidRPr="00824BC0">
        <w:rPr>
          <w:rFonts w:ascii="Times New Roman" w:hAnsi="Times New Roman" w:cs="Times New Roman"/>
          <w:i/>
          <w:sz w:val="24"/>
          <w:szCs w:val="24"/>
        </w:rPr>
        <w:t>(Emphasis supplied)</w:t>
      </w:r>
    </w:p>
    <w:p w14:paraId="37110986" w14:textId="77777777" w:rsidR="00742B6D" w:rsidRPr="00824BC0" w:rsidRDefault="00742B6D" w:rsidP="00742B6D">
      <w:pPr>
        <w:spacing w:after="0" w:line="240" w:lineRule="auto"/>
        <w:jc w:val="both"/>
        <w:rPr>
          <w:rFonts w:ascii="Times New Roman" w:hAnsi="Times New Roman" w:cs="Times New Roman"/>
          <w:sz w:val="24"/>
          <w:szCs w:val="24"/>
        </w:rPr>
      </w:pPr>
    </w:p>
    <w:p w14:paraId="23A73A30" w14:textId="77777777" w:rsidR="00742B6D" w:rsidRPr="00824BC0" w:rsidRDefault="00742B6D" w:rsidP="008017C3">
      <w:pPr>
        <w:pStyle w:val="ListParagraph"/>
        <w:numPr>
          <w:ilvl w:val="1"/>
          <w:numId w:val="5"/>
        </w:numPr>
        <w:ind w:left="0" w:firstLine="0"/>
        <w:jc w:val="both"/>
        <w:rPr>
          <w:szCs w:val="24"/>
        </w:rPr>
      </w:pPr>
      <w:r w:rsidRPr="00824BC0">
        <w:rPr>
          <w:szCs w:val="24"/>
        </w:rPr>
        <w:t xml:space="preserve">Likewise, revenues from other sources, such as receipts from sales of livestock and other agricultural produce, were also recognized as Other Payables.  </w:t>
      </w:r>
    </w:p>
    <w:p w14:paraId="61701B7A" w14:textId="77777777" w:rsidR="00742B6D" w:rsidRPr="00824BC0" w:rsidRDefault="00742B6D" w:rsidP="00742B6D">
      <w:pPr>
        <w:spacing w:after="0" w:line="240" w:lineRule="auto"/>
        <w:ind w:firstLine="720"/>
        <w:jc w:val="both"/>
        <w:rPr>
          <w:rFonts w:ascii="Times New Roman" w:hAnsi="Times New Roman" w:cs="Times New Roman"/>
          <w:sz w:val="24"/>
          <w:szCs w:val="24"/>
        </w:rPr>
      </w:pPr>
    </w:p>
    <w:p w14:paraId="24DB0192" w14:textId="51FCE7EA" w:rsidR="00742B6D" w:rsidRPr="00824BC0" w:rsidRDefault="00742B6D" w:rsidP="008017C3">
      <w:pPr>
        <w:pStyle w:val="ListParagraph"/>
        <w:numPr>
          <w:ilvl w:val="1"/>
          <w:numId w:val="5"/>
        </w:numPr>
        <w:ind w:left="0" w:firstLine="0"/>
        <w:jc w:val="both"/>
        <w:rPr>
          <w:szCs w:val="24"/>
        </w:rPr>
      </w:pPr>
      <w:r w:rsidRPr="00824BC0">
        <w:rPr>
          <w:szCs w:val="24"/>
        </w:rPr>
        <w:t xml:space="preserve">The details of the erroneously recognized transactions are tabulated </w:t>
      </w:r>
      <w:r w:rsidR="00700F6D" w:rsidRPr="00824BC0">
        <w:rPr>
          <w:szCs w:val="24"/>
        </w:rPr>
        <w:t>below:</w:t>
      </w:r>
    </w:p>
    <w:p w14:paraId="00D80740" w14:textId="77777777" w:rsidR="00742B6D" w:rsidRPr="00824BC0" w:rsidRDefault="00742B6D" w:rsidP="00742B6D">
      <w:pPr>
        <w:spacing w:after="0" w:line="240" w:lineRule="auto"/>
        <w:jc w:val="both"/>
        <w:rPr>
          <w:rFonts w:ascii="Times New Roman" w:hAnsi="Times New Roman" w:cs="Times New Roman"/>
          <w:sz w:val="24"/>
          <w:szCs w:val="24"/>
        </w:rPr>
      </w:pPr>
    </w:p>
    <w:tbl>
      <w:tblPr>
        <w:tblW w:w="8635" w:type="dxa"/>
        <w:tblLayout w:type="fixed"/>
        <w:tblLook w:val="04A0" w:firstRow="1" w:lastRow="0" w:firstColumn="1" w:lastColumn="0" w:noHBand="0" w:noVBand="1"/>
      </w:tblPr>
      <w:tblGrid>
        <w:gridCol w:w="2065"/>
        <w:gridCol w:w="1710"/>
        <w:gridCol w:w="2880"/>
        <w:gridCol w:w="1980"/>
      </w:tblGrid>
      <w:tr w:rsidR="00742B6D" w:rsidRPr="00824BC0" w14:paraId="2ED56421" w14:textId="77777777" w:rsidTr="008017C3">
        <w:trPr>
          <w:trHeight w:val="300"/>
          <w:tblHeader/>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AC11E" w14:textId="77777777" w:rsidR="00742B6D" w:rsidRPr="00824BC0" w:rsidRDefault="00742B6D" w:rsidP="00742B6D">
            <w:pPr>
              <w:spacing w:after="0" w:line="240" w:lineRule="auto"/>
              <w:jc w:val="center"/>
              <w:rPr>
                <w:rFonts w:ascii="Times New Roman" w:hAnsi="Times New Roman" w:cs="Times New Roman"/>
                <w:b/>
                <w:bCs/>
                <w:i/>
                <w:iCs/>
                <w:color w:val="000000"/>
                <w:sz w:val="24"/>
                <w:szCs w:val="24"/>
                <w:lang w:eastAsia="en-PH"/>
              </w:rPr>
            </w:pPr>
            <w:r w:rsidRPr="00824BC0">
              <w:rPr>
                <w:rFonts w:ascii="Times New Roman" w:hAnsi="Times New Roman" w:cs="Times New Roman"/>
                <w:b/>
                <w:bCs/>
                <w:i/>
                <w:iCs/>
                <w:color w:val="000000"/>
                <w:sz w:val="24"/>
                <w:szCs w:val="24"/>
                <w:lang w:eastAsia="en-PH"/>
              </w:rPr>
              <w:t>DESCRIPTION</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1DEF95CF" w14:textId="77777777" w:rsidR="00742B6D" w:rsidRPr="00824BC0" w:rsidRDefault="00742B6D" w:rsidP="00742B6D">
            <w:pPr>
              <w:spacing w:after="0" w:line="240" w:lineRule="auto"/>
              <w:jc w:val="center"/>
              <w:rPr>
                <w:rFonts w:ascii="Times New Roman" w:hAnsi="Times New Roman" w:cs="Times New Roman"/>
                <w:b/>
                <w:bCs/>
                <w:i/>
                <w:iCs/>
                <w:color w:val="000000"/>
                <w:sz w:val="24"/>
                <w:szCs w:val="24"/>
                <w:lang w:eastAsia="en-PH"/>
              </w:rPr>
            </w:pPr>
            <w:r w:rsidRPr="00824BC0">
              <w:rPr>
                <w:rFonts w:ascii="Times New Roman" w:hAnsi="Times New Roman" w:cs="Times New Roman"/>
                <w:b/>
                <w:bCs/>
                <w:i/>
                <w:iCs/>
                <w:color w:val="000000"/>
                <w:sz w:val="24"/>
                <w:szCs w:val="24"/>
                <w:lang w:eastAsia="en-PH"/>
              </w:rPr>
              <w:t>AMOUNT</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0B52F999" w14:textId="77777777" w:rsidR="00742B6D" w:rsidRPr="00824BC0" w:rsidRDefault="00742B6D" w:rsidP="00742B6D">
            <w:pPr>
              <w:spacing w:after="0" w:line="240" w:lineRule="auto"/>
              <w:jc w:val="center"/>
              <w:rPr>
                <w:rFonts w:ascii="Times New Roman" w:hAnsi="Times New Roman" w:cs="Times New Roman"/>
                <w:b/>
                <w:bCs/>
                <w:i/>
                <w:iCs/>
                <w:color w:val="000000"/>
                <w:sz w:val="24"/>
                <w:szCs w:val="24"/>
                <w:lang w:eastAsia="en-PH"/>
              </w:rPr>
            </w:pPr>
            <w:r w:rsidRPr="00824BC0">
              <w:rPr>
                <w:rFonts w:ascii="Times New Roman" w:hAnsi="Times New Roman" w:cs="Times New Roman"/>
                <w:b/>
                <w:bCs/>
                <w:i/>
                <w:iCs/>
                <w:color w:val="000000"/>
                <w:sz w:val="24"/>
                <w:szCs w:val="24"/>
                <w:lang w:eastAsia="en-PH"/>
              </w:rPr>
              <w:t>PARTICULARS OF TRANSACTION</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093E1C6E" w14:textId="77777777" w:rsidR="00742B6D" w:rsidRPr="00824BC0" w:rsidRDefault="00742B6D" w:rsidP="00742B6D">
            <w:pPr>
              <w:spacing w:after="0" w:line="240" w:lineRule="auto"/>
              <w:jc w:val="center"/>
              <w:rPr>
                <w:rFonts w:ascii="Times New Roman" w:hAnsi="Times New Roman" w:cs="Times New Roman"/>
                <w:b/>
                <w:bCs/>
                <w:i/>
                <w:iCs/>
                <w:color w:val="000000"/>
                <w:sz w:val="24"/>
                <w:szCs w:val="24"/>
                <w:lang w:eastAsia="en-PH"/>
              </w:rPr>
            </w:pPr>
            <w:r w:rsidRPr="00824BC0">
              <w:rPr>
                <w:rFonts w:ascii="Times New Roman" w:hAnsi="Times New Roman" w:cs="Times New Roman"/>
                <w:b/>
                <w:bCs/>
                <w:i/>
                <w:iCs/>
                <w:color w:val="000000"/>
                <w:sz w:val="24"/>
                <w:szCs w:val="24"/>
                <w:lang w:eastAsia="en-PH"/>
              </w:rPr>
              <w:t>CORRECT ACCOUNT</w:t>
            </w:r>
          </w:p>
        </w:tc>
      </w:tr>
      <w:tr w:rsidR="00742B6D" w:rsidRPr="00824BC0" w14:paraId="00530322" w14:textId="77777777" w:rsidTr="008017C3">
        <w:trPr>
          <w:trHeight w:val="300"/>
        </w:trPr>
        <w:tc>
          <w:tcPr>
            <w:tcW w:w="8635" w:type="dxa"/>
            <w:gridSpan w:val="4"/>
            <w:tcBorders>
              <w:top w:val="nil"/>
              <w:left w:val="single" w:sz="4" w:space="0" w:color="auto"/>
              <w:bottom w:val="single" w:sz="4" w:space="0" w:color="auto"/>
              <w:right w:val="single" w:sz="4" w:space="0" w:color="auto"/>
            </w:tcBorders>
            <w:shd w:val="clear" w:color="auto" w:fill="auto"/>
            <w:noWrap/>
            <w:vAlign w:val="center"/>
            <w:hideMark/>
          </w:tcPr>
          <w:p w14:paraId="4B6F1A5B" w14:textId="77777777" w:rsidR="00742B6D" w:rsidRPr="00824BC0" w:rsidRDefault="00742B6D" w:rsidP="00742B6D">
            <w:pPr>
              <w:spacing w:after="0" w:line="240" w:lineRule="auto"/>
              <w:rPr>
                <w:rFonts w:ascii="Times New Roman" w:hAnsi="Times New Roman" w:cs="Times New Roman"/>
                <w:i/>
                <w:iCs/>
                <w:color w:val="000000"/>
                <w:sz w:val="24"/>
                <w:szCs w:val="24"/>
                <w:lang w:eastAsia="en-PH"/>
              </w:rPr>
            </w:pPr>
            <w:r w:rsidRPr="00824BC0">
              <w:rPr>
                <w:rFonts w:ascii="Times New Roman" w:hAnsi="Times New Roman" w:cs="Times New Roman"/>
                <w:i/>
                <w:iCs/>
                <w:color w:val="000000"/>
                <w:sz w:val="24"/>
                <w:szCs w:val="24"/>
                <w:lang w:eastAsia="en-PH"/>
              </w:rPr>
              <w:t>Special Trust Fund (Fund 164)</w:t>
            </w:r>
          </w:p>
        </w:tc>
      </w:tr>
      <w:tr w:rsidR="00742B6D" w:rsidRPr="00824BC0" w14:paraId="4AE01B9B"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0BABDC50"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Books - High School</w:t>
            </w:r>
          </w:p>
        </w:tc>
        <w:tc>
          <w:tcPr>
            <w:tcW w:w="1710" w:type="dxa"/>
            <w:tcBorders>
              <w:top w:val="nil"/>
              <w:left w:val="nil"/>
              <w:bottom w:val="single" w:sz="4" w:space="0" w:color="auto"/>
              <w:right w:val="single" w:sz="4" w:space="0" w:color="auto"/>
            </w:tcBorders>
            <w:shd w:val="clear" w:color="auto" w:fill="auto"/>
            <w:noWrap/>
            <w:vAlign w:val="center"/>
            <w:hideMark/>
          </w:tcPr>
          <w:p w14:paraId="5B2F9BF0"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     1,362.00 </w:t>
            </w:r>
          </w:p>
        </w:tc>
        <w:tc>
          <w:tcPr>
            <w:tcW w:w="2880" w:type="dxa"/>
            <w:tcBorders>
              <w:top w:val="nil"/>
              <w:left w:val="nil"/>
              <w:bottom w:val="single" w:sz="4" w:space="0" w:color="auto"/>
              <w:right w:val="single" w:sz="4" w:space="0" w:color="auto"/>
            </w:tcBorders>
            <w:shd w:val="clear" w:color="auto" w:fill="auto"/>
            <w:noWrap/>
            <w:vAlign w:val="center"/>
            <w:hideMark/>
          </w:tcPr>
          <w:p w14:paraId="4C7E3B37"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Payment of lost books of HS Students</w:t>
            </w:r>
          </w:p>
        </w:tc>
        <w:tc>
          <w:tcPr>
            <w:tcW w:w="1980" w:type="dxa"/>
            <w:tcBorders>
              <w:top w:val="nil"/>
              <w:left w:val="nil"/>
              <w:bottom w:val="single" w:sz="4" w:space="0" w:color="auto"/>
              <w:right w:val="single" w:sz="4" w:space="0" w:color="auto"/>
            </w:tcBorders>
            <w:shd w:val="clear" w:color="auto" w:fill="auto"/>
            <w:noWrap/>
            <w:vAlign w:val="center"/>
            <w:hideMark/>
          </w:tcPr>
          <w:p w14:paraId="21B29342"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Proceeds from Insurance/</w:t>
            </w:r>
          </w:p>
          <w:p w14:paraId="5AC8227E"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Indemnities</w:t>
            </w:r>
          </w:p>
        </w:tc>
      </w:tr>
      <w:tr w:rsidR="00742B6D" w:rsidRPr="00824BC0" w14:paraId="6C5A2BDD"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128FEF5D"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Balagtas Campus</w:t>
            </w:r>
          </w:p>
        </w:tc>
        <w:tc>
          <w:tcPr>
            <w:tcW w:w="1710" w:type="dxa"/>
            <w:tcBorders>
              <w:top w:val="nil"/>
              <w:left w:val="nil"/>
              <w:bottom w:val="single" w:sz="4" w:space="0" w:color="auto"/>
              <w:right w:val="single" w:sz="4" w:space="0" w:color="auto"/>
            </w:tcBorders>
            <w:shd w:val="clear" w:color="auto" w:fill="auto"/>
            <w:noWrap/>
            <w:vAlign w:val="center"/>
            <w:hideMark/>
          </w:tcPr>
          <w:p w14:paraId="36DE8566"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         63,214.65 </w:t>
            </w:r>
          </w:p>
        </w:tc>
        <w:tc>
          <w:tcPr>
            <w:tcW w:w="2880" w:type="dxa"/>
            <w:tcBorders>
              <w:top w:val="nil"/>
              <w:left w:val="nil"/>
              <w:bottom w:val="single" w:sz="4" w:space="0" w:color="auto"/>
              <w:right w:val="single" w:sz="4" w:space="0" w:color="auto"/>
            </w:tcBorders>
            <w:shd w:val="clear" w:color="auto" w:fill="auto"/>
            <w:noWrap/>
            <w:vAlign w:val="center"/>
            <w:hideMark/>
          </w:tcPr>
          <w:p w14:paraId="11B05FE4"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Collections from Balagtas Campus students</w:t>
            </w:r>
          </w:p>
        </w:tc>
        <w:tc>
          <w:tcPr>
            <w:tcW w:w="1980" w:type="dxa"/>
            <w:tcBorders>
              <w:top w:val="nil"/>
              <w:left w:val="nil"/>
              <w:bottom w:val="single" w:sz="4" w:space="0" w:color="auto"/>
              <w:right w:val="single" w:sz="4" w:space="0" w:color="auto"/>
            </w:tcBorders>
            <w:shd w:val="clear" w:color="auto" w:fill="auto"/>
            <w:noWrap/>
            <w:vAlign w:val="center"/>
            <w:hideMark/>
          </w:tcPr>
          <w:p w14:paraId="365B6C65"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School Fees</w:t>
            </w:r>
          </w:p>
        </w:tc>
      </w:tr>
      <w:tr w:rsidR="00742B6D" w:rsidRPr="00824BC0" w14:paraId="1AA04FEE"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5A51C0EF"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CCLF</w:t>
            </w:r>
          </w:p>
        </w:tc>
        <w:tc>
          <w:tcPr>
            <w:tcW w:w="1710" w:type="dxa"/>
            <w:tcBorders>
              <w:top w:val="nil"/>
              <w:left w:val="nil"/>
              <w:bottom w:val="single" w:sz="4" w:space="0" w:color="auto"/>
              <w:right w:val="single" w:sz="4" w:space="0" w:color="auto"/>
            </w:tcBorders>
            <w:shd w:val="clear" w:color="auto" w:fill="auto"/>
            <w:noWrap/>
            <w:vAlign w:val="center"/>
            <w:hideMark/>
          </w:tcPr>
          <w:p w14:paraId="0D637036"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63,090.85 </w:t>
            </w:r>
          </w:p>
        </w:tc>
        <w:tc>
          <w:tcPr>
            <w:tcW w:w="2880" w:type="dxa"/>
            <w:tcBorders>
              <w:top w:val="nil"/>
              <w:left w:val="nil"/>
              <w:bottom w:val="single" w:sz="4" w:space="0" w:color="auto"/>
              <w:right w:val="single" w:sz="4" w:space="0" w:color="auto"/>
            </w:tcBorders>
            <w:shd w:val="clear" w:color="auto" w:fill="auto"/>
            <w:noWrap/>
            <w:vAlign w:val="center"/>
            <w:hideMark/>
          </w:tcPr>
          <w:p w14:paraId="3AD483DC"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Collections of student miscellaneous fee from CHED</w:t>
            </w:r>
          </w:p>
        </w:tc>
        <w:tc>
          <w:tcPr>
            <w:tcW w:w="1980" w:type="dxa"/>
            <w:tcBorders>
              <w:top w:val="nil"/>
              <w:left w:val="nil"/>
              <w:bottom w:val="single" w:sz="4" w:space="0" w:color="auto"/>
              <w:right w:val="single" w:sz="4" w:space="0" w:color="auto"/>
            </w:tcBorders>
            <w:shd w:val="clear" w:color="auto" w:fill="auto"/>
            <w:noWrap/>
            <w:vAlign w:val="center"/>
            <w:hideMark/>
          </w:tcPr>
          <w:p w14:paraId="05D36A43"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School Fees</w:t>
            </w:r>
          </w:p>
        </w:tc>
      </w:tr>
      <w:tr w:rsidR="00742B6D" w:rsidRPr="00824BC0" w14:paraId="7184B660"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13270ACC"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Skills Development Fund</w:t>
            </w:r>
          </w:p>
        </w:tc>
        <w:tc>
          <w:tcPr>
            <w:tcW w:w="1710" w:type="dxa"/>
            <w:tcBorders>
              <w:top w:val="nil"/>
              <w:left w:val="nil"/>
              <w:bottom w:val="single" w:sz="4" w:space="0" w:color="auto"/>
              <w:right w:val="single" w:sz="4" w:space="0" w:color="auto"/>
            </w:tcBorders>
            <w:shd w:val="clear" w:color="auto" w:fill="auto"/>
            <w:noWrap/>
            <w:vAlign w:val="center"/>
            <w:hideMark/>
          </w:tcPr>
          <w:p w14:paraId="5BD5E376"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277,952.04 </w:t>
            </w:r>
          </w:p>
        </w:tc>
        <w:tc>
          <w:tcPr>
            <w:tcW w:w="2880" w:type="dxa"/>
            <w:tcBorders>
              <w:top w:val="nil"/>
              <w:left w:val="nil"/>
              <w:bottom w:val="single" w:sz="4" w:space="0" w:color="auto"/>
              <w:right w:val="single" w:sz="4" w:space="0" w:color="auto"/>
            </w:tcBorders>
            <w:shd w:val="clear" w:color="auto" w:fill="auto"/>
            <w:noWrap/>
            <w:vAlign w:val="center"/>
            <w:hideMark/>
          </w:tcPr>
          <w:p w14:paraId="37841E47"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Collections of student miscellaneous fee from CHED</w:t>
            </w:r>
          </w:p>
        </w:tc>
        <w:tc>
          <w:tcPr>
            <w:tcW w:w="1980" w:type="dxa"/>
            <w:tcBorders>
              <w:top w:val="nil"/>
              <w:left w:val="nil"/>
              <w:bottom w:val="single" w:sz="4" w:space="0" w:color="auto"/>
              <w:right w:val="single" w:sz="4" w:space="0" w:color="auto"/>
            </w:tcBorders>
            <w:shd w:val="clear" w:color="auto" w:fill="auto"/>
            <w:noWrap/>
            <w:vAlign w:val="center"/>
            <w:hideMark/>
          </w:tcPr>
          <w:p w14:paraId="628A5FA9"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School Fees</w:t>
            </w:r>
          </w:p>
        </w:tc>
      </w:tr>
      <w:tr w:rsidR="00742B6D" w:rsidRPr="00824BC0" w14:paraId="1C289AE2"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0B5574DE"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Graduation Fee</w:t>
            </w:r>
          </w:p>
        </w:tc>
        <w:tc>
          <w:tcPr>
            <w:tcW w:w="1710" w:type="dxa"/>
            <w:tcBorders>
              <w:top w:val="nil"/>
              <w:left w:val="nil"/>
              <w:bottom w:val="single" w:sz="4" w:space="0" w:color="auto"/>
              <w:right w:val="single" w:sz="4" w:space="0" w:color="auto"/>
            </w:tcBorders>
            <w:shd w:val="clear" w:color="auto" w:fill="auto"/>
            <w:noWrap/>
            <w:vAlign w:val="center"/>
            <w:hideMark/>
          </w:tcPr>
          <w:p w14:paraId="68712304"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220,067.53 </w:t>
            </w:r>
          </w:p>
        </w:tc>
        <w:tc>
          <w:tcPr>
            <w:tcW w:w="2880" w:type="dxa"/>
            <w:tcBorders>
              <w:top w:val="nil"/>
              <w:left w:val="nil"/>
              <w:bottom w:val="single" w:sz="4" w:space="0" w:color="auto"/>
              <w:right w:val="single" w:sz="4" w:space="0" w:color="auto"/>
            </w:tcBorders>
            <w:shd w:val="clear" w:color="auto" w:fill="auto"/>
            <w:noWrap/>
            <w:vAlign w:val="center"/>
            <w:hideMark/>
          </w:tcPr>
          <w:p w14:paraId="57593D66"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Collections of student miscellaneous fee from CHED</w:t>
            </w:r>
          </w:p>
        </w:tc>
        <w:tc>
          <w:tcPr>
            <w:tcW w:w="1980" w:type="dxa"/>
            <w:tcBorders>
              <w:top w:val="nil"/>
              <w:left w:val="nil"/>
              <w:bottom w:val="single" w:sz="4" w:space="0" w:color="auto"/>
              <w:right w:val="single" w:sz="4" w:space="0" w:color="auto"/>
            </w:tcBorders>
            <w:shd w:val="clear" w:color="auto" w:fill="auto"/>
            <w:noWrap/>
            <w:vAlign w:val="center"/>
            <w:hideMark/>
          </w:tcPr>
          <w:p w14:paraId="15954FF1"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School Fees</w:t>
            </w:r>
          </w:p>
        </w:tc>
      </w:tr>
      <w:tr w:rsidR="00742B6D" w:rsidRPr="00824BC0" w14:paraId="756B09F2"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5CCA8AC5"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Guidance and Counseling</w:t>
            </w:r>
          </w:p>
        </w:tc>
        <w:tc>
          <w:tcPr>
            <w:tcW w:w="1710" w:type="dxa"/>
            <w:tcBorders>
              <w:top w:val="nil"/>
              <w:left w:val="nil"/>
              <w:bottom w:val="single" w:sz="4" w:space="0" w:color="auto"/>
              <w:right w:val="single" w:sz="4" w:space="0" w:color="auto"/>
            </w:tcBorders>
            <w:shd w:val="clear" w:color="auto" w:fill="auto"/>
            <w:noWrap/>
            <w:vAlign w:val="center"/>
            <w:hideMark/>
          </w:tcPr>
          <w:p w14:paraId="613A8A05"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13,946.90 </w:t>
            </w:r>
          </w:p>
        </w:tc>
        <w:tc>
          <w:tcPr>
            <w:tcW w:w="2880" w:type="dxa"/>
            <w:tcBorders>
              <w:top w:val="nil"/>
              <w:left w:val="nil"/>
              <w:bottom w:val="single" w:sz="4" w:space="0" w:color="auto"/>
              <w:right w:val="single" w:sz="4" w:space="0" w:color="auto"/>
            </w:tcBorders>
            <w:shd w:val="clear" w:color="auto" w:fill="auto"/>
            <w:noWrap/>
            <w:vAlign w:val="center"/>
            <w:hideMark/>
          </w:tcPr>
          <w:p w14:paraId="1DCDD595"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Collections of student miscellaneous fee from CHED</w:t>
            </w:r>
          </w:p>
        </w:tc>
        <w:tc>
          <w:tcPr>
            <w:tcW w:w="1980" w:type="dxa"/>
            <w:tcBorders>
              <w:top w:val="nil"/>
              <w:left w:val="nil"/>
              <w:bottom w:val="single" w:sz="4" w:space="0" w:color="auto"/>
              <w:right w:val="single" w:sz="4" w:space="0" w:color="auto"/>
            </w:tcBorders>
            <w:shd w:val="clear" w:color="auto" w:fill="auto"/>
            <w:noWrap/>
            <w:vAlign w:val="center"/>
            <w:hideMark/>
          </w:tcPr>
          <w:p w14:paraId="7C8780F4"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School Fees</w:t>
            </w:r>
          </w:p>
        </w:tc>
      </w:tr>
      <w:tr w:rsidR="00742B6D" w:rsidRPr="00824BC0" w14:paraId="01D64928"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26698C1E"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lastRenderedPageBreak/>
              <w:t>ID</w:t>
            </w:r>
          </w:p>
        </w:tc>
        <w:tc>
          <w:tcPr>
            <w:tcW w:w="1710" w:type="dxa"/>
            <w:tcBorders>
              <w:top w:val="nil"/>
              <w:left w:val="nil"/>
              <w:bottom w:val="single" w:sz="4" w:space="0" w:color="auto"/>
              <w:right w:val="single" w:sz="4" w:space="0" w:color="auto"/>
            </w:tcBorders>
            <w:shd w:val="clear" w:color="auto" w:fill="auto"/>
            <w:noWrap/>
            <w:vAlign w:val="center"/>
            <w:hideMark/>
          </w:tcPr>
          <w:p w14:paraId="3A311079"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245,065.02 </w:t>
            </w:r>
          </w:p>
        </w:tc>
        <w:tc>
          <w:tcPr>
            <w:tcW w:w="2880" w:type="dxa"/>
            <w:tcBorders>
              <w:top w:val="nil"/>
              <w:left w:val="nil"/>
              <w:bottom w:val="single" w:sz="4" w:space="0" w:color="auto"/>
              <w:right w:val="single" w:sz="4" w:space="0" w:color="auto"/>
            </w:tcBorders>
            <w:shd w:val="clear" w:color="auto" w:fill="auto"/>
            <w:noWrap/>
            <w:vAlign w:val="center"/>
            <w:hideMark/>
          </w:tcPr>
          <w:p w14:paraId="0751C6EE"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Collections of student miscellaneous fee from CHED</w:t>
            </w:r>
          </w:p>
        </w:tc>
        <w:tc>
          <w:tcPr>
            <w:tcW w:w="1980" w:type="dxa"/>
            <w:tcBorders>
              <w:top w:val="nil"/>
              <w:left w:val="nil"/>
              <w:bottom w:val="single" w:sz="4" w:space="0" w:color="auto"/>
              <w:right w:val="single" w:sz="4" w:space="0" w:color="auto"/>
            </w:tcBorders>
            <w:shd w:val="clear" w:color="auto" w:fill="auto"/>
            <w:noWrap/>
            <w:vAlign w:val="center"/>
            <w:hideMark/>
          </w:tcPr>
          <w:p w14:paraId="67494B2F"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School Fees</w:t>
            </w:r>
          </w:p>
        </w:tc>
      </w:tr>
      <w:tr w:rsidR="00742B6D" w:rsidRPr="00824BC0" w14:paraId="72FFED92"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14C13968"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Institute Development Fee</w:t>
            </w:r>
          </w:p>
        </w:tc>
        <w:tc>
          <w:tcPr>
            <w:tcW w:w="1710" w:type="dxa"/>
            <w:tcBorders>
              <w:top w:val="nil"/>
              <w:left w:val="nil"/>
              <w:bottom w:val="single" w:sz="4" w:space="0" w:color="auto"/>
              <w:right w:val="single" w:sz="4" w:space="0" w:color="auto"/>
            </w:tcBorders>
            <w:shd w:val="clear" w:color="auto" w:fill="auto"/>
            <w:noWrap/>
            <w:vAlign w:val="center"/>
            <w:hideMark/>
          </w:tcPr>
          <w:p w14:paraId="53C41543"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12,273.82 </w:t>
            </w:r>
          </w:p>
        </w:tc>
        <w:tc>
          <w:tcPr>
            <w:tcW w:w="2880" w:type="dxa"/>
            <w:tcBorders>
              <w:top w:val="nil"/>
              <w:left w:val="nil"/>
              <w:bottom w:val="single" w:sz="4" w:space="0" w:color="auto"/>
              <w:right w:val="single" w:sz="4" w:space="0" w:color="auto"/>
            </w:tcBorders>
            <w:shd w:val="clear" w:color="auto" w:fill="auto"/>
            <w:noWrap/>
            <w:vAlign w:val="center"/>
            <w:hideMark/>
          </w:tcPr>
          <w:p w14:paraId="24708AF3"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Collections from old accounts</w:t>
            </w:r>
          </w:p>
        </w:tc>
        <w:tc>
          <w:tcPr>
            <w:tcW w:w="1980" w:type="dxa"/>
            <w:tcBorders>
              <w:top w:val="nil"/>
              <w:left w:val="nil"/>
              <w:bottom w:val="single" w:sz="4" w:space="0" w:color="auto"/>
              <w:right w:val="single" w:sz="4" w:space="0" w:color="auto"/>
            </w:tcBorders>
            <w:shd w:val="clear" w:color="auto" w:fill="auto"/>
            <w:noWrap/>
            <w:vAlign w:val="center"/>
            <w:hideMark/>
          </w:tcPr>
          <w:p w14:paraId="0C8F5D6E"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School Fees</w:t>
            </w:r>
          </w:p>
        </w:tc>
      </w:tr>
      <w:tr w:rsidR="00742B6D" w:rsidRPr="00824BC0" w14:paraId="1C479F77"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5F49E51C"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Insurance fee</w:t>
            </w:r>
          </w:p>
        </w:tc>
        <w:tc>
          <w:tcPr>
            <w:tcW w:w="1710" w:type="dxa"/>
            <w:tcBorders>
              <w:top w:val="nil"/>
              <w:left w:val="nil"/>
              <w:bottom w:val="single" w:sz="4" w:space="0" w:color="auto"/>
              <w:right w:val="single" w:sz="4" w:space="0" w:color="auto"/>
            </w:tcBorders>
            <w:shd w:val="clear" w:color="auto" w:fill="auto"/>
            <w:noWrap/>
            <w:vAlign w:val="center"/>
            <w:hideMark/>
          </w:tcPr>
          <w:p w14:paraId="30E752BE"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7,357.50 </w:t>
            </w:r>
          </w:p>
        </w:tc>
        <w:tc>
          <w:tcPr>
            <w:tcW w:w="2880" w:type="dxa"/>
            <w:tcBorders>
              <w:top w:val="nil"/>
              <w:left w:val="nil"/>
              <w:bottom w:val="single" w:sz="4" w:space="0" w:color="auto"/>
              <w:right w:val="single" w:sz="4" w:space="0" w:color="auto"/>
            </w:tcBorders>
            <w:shd w:val="clear" w:color="auto" w:fill="auto"/>
            <w:noWrap/>
            <w:vAlign w:val="center"/>
            <w:hideMark/>
          </w:tcPr>
          <w:p w14:paraId="355E0842"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Collections from old accounts</w:t>
            </w:r>
          </w:p>
        </w:tc>
        <w:tc>
          <w:tcPr>
            <w:tcW w:w="1980" w:type="dxa"/>
            <w:tcBorders>
              <w:top w:val="nil"/>
              <w:left w:val="nil"/>
              <w:bottom w:val="single" w:sz="4" w:space="0" w:color="auto"/>
              <w:right w:val="single" w:sz="4" w:space="0" w:color="auto"/>
            </w:tcBorders>
            <w:shd w:val="clear" w:color="auto" w:fill="auto"/>
            <w:noWrap/>
            <w:vAlign w:val="center"/>
            <w:hideMark/>
          </w:tcPr>
          <w:p w14:paraId="736F9F85"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School Fees</w:t>
            </w:r>
          </w:p>
        </w:tc>
      </w:tr>
      <w:tr w:rsidR="00742B6D" w:rsidRPr="00824BC0" w14:paraId="07EE23B8"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02BD4C4F"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Science fee/PSC</w:t>
            </w:r>
          </w:p>
        </w:tc>
        <w:tc>
          <w:tcPr>
            <w:tcW w:w="1710" w:type="dxa"/>
            <w:tcBorders>
              <w:top w:val="nil"/>
              <w:left w:val="nil"/>
              <w:bottom w:val="single" w:sz="4" w:space="0" w:color="auto"/>
              <w:right w:val="single" w:sz="4" w:space="0" w:color="auto"/>
            </w:tcBorders>
            <w:shd w:val="clear" w:color="auto" w:fill="auto"/>
            <w:noWrap/>
            <w:vAlign w:val="center"/>
            <w:hideMark/>
          </w:tcPr>
          <w:p w14:paraId="33252F64"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741,382.32 </w:t>
            </w:r>
          </w:p>
        </w:tc>
        <w:tc>
          <w:tcPr>
            <w:tcW w:w="2880" w:type="dxa"/>
            <w:tcBorders>
              <w:top w:val="nil"/>
              <w:left w:val="nil"/>
              <w:bottom w:val="single" w:sz="4" w:space="0" w:color="auto"/>
              <w:right w:val="single" w:sz="4" w:space="0" w:color="auto"/>
            </w:tcBorders>
            <w:shd w:val="clear" w:color="auto" w:fill="auto"/>
            <w:noWrap/>
            <w:vAlign w:val="center"/>
            <w:hideMark/>
          </w:tcPr>
          <w:p w14:paraId="3497EE1E"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Collections of student miscellaneous fee from CHED</w:t>
            </w:r>
          </w:p>
        </w:tc>
        <w:tc>
          <w:tcPr>
            <w:tcW w:w="1980" w:type="dxa"/>
            <w:tcBorders>
              <w:top w:val="nil"/>
              <w:left w:val="nil"/>
              <w:bottom w:val="single" w:sz="4" w:space="0" w:color="auto"/>
              <w:right w:val="single" w:sz="4" w:space="0" w:color="auto"/>
            </w:tcBorders>
            <w:shd w:val="clear" w:color="auto" w:fill="auto"/>
            <w:noWrap/>
            <w:vAlign w:val="center"/>
            <w:hideMark/>
          </w:tcPr>
          <w:p w14:paraId="4396B6C3"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School Fees</w:t>
            </w:r>
          </w:p>
        </w:tc>
      </w:tr>
      <w:tr w:rsidR="00742B6D" w:rsidRPr="00824BC0" w14:paraId="77C79746"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55DD0B41"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NSTP/ROTC</w:t>
            </w:r>
          </w:p>
        </w:tc>
        <w:tc>
          <w:tcPr>
            <w:tcW w:w="1710" w:type="dxa"/>
            <w:tcBorders>
              <w:top w:val="nil"/>
              <w:left w:val="nil"/>
              <w:bottom w:val="single" w:sz="4" w:space="0" w:color="auto"/>
              <w:right w:val="single" w:sz="4" w:space="0" w:color="auto"/>
            </w:tcBorders>
            <w:shd w:val="clear" w:color="auto" w:fill="auto"/>
            <w:noWrap/>
            <w:vAlign w:val="center"/>
            <w:hideMark/>
          </w:tcPr>
          <w:p w14:paraId="1C05AC69"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13,229.15 </w:t>
            </w:r>
          </w:p>
        </w:tc>
        <w:tc>
          <w:tcPr>
            <w:tcW w:w="2880" w:type="dxa"/>
            <w:tcBorders>
              <w:top w:val="nil"/>
              <w:left w:val="nil"/>
              <w:bottom w:val="single" w:sz="4" w:space="0" w:color="auto"/>
              <w:right w:val="single" w:sz="4" w:space="0" w:color="auto"/>
            </w:tcBorders>
            <w:shd w:val="clear" w:color="auto" w:fill="auto"/>
            <w:noWrap/>
            <w:vAlign w:val="center"/>
            <w:hideMark/>
          </w:tcPr>
          <w:p w14:paraId="20B3EBEC"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Collections of student miscellaneous fee from CHED</w:t>
            </w:r>
          </w:p>
        </w:tc>
        <w:tc>
          <w:tcPr>
            <w:tcW w:w="1980" w:type="dxa"/>
            <w:tcBorders>
              <w:top w:val="nil"/>
              <w:left w:val="nil"/>
              <w:bottom w:val="single" w:sz="4" w:space="0" w:color="auto"/>
              <w:right w:val="single" w:sz="4" w:space="0" w:color="auto"/>
            </w:tcBorders>
            <w:shd w:val="clear" w:color="auto" w:fill="auto"/>
            <w:noWrap/>
            <w:vAlign w:val="center"/>
            <w:hideMark/>
          </w:tcPr>
          <w:p w14:paraId="316E83EB"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School Fees</w:t>
            </w:r>
          </w:p>
        </w:tc>
      </w:tr>
      <w:tr w:rsidR="00742B6D" w:rsidRPr="00824BC0" w14:paraId="012D05F6"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3F034E84"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PTCA</w:t>
            </w:r>
          </w:p>
        </w:tc>
        <w:tc>
          <w:tcPr>
            <w:tcW w:w="1710" w:type="dxa"/>
            <w:tcBorders>
              <w:top w:val="nil"/>
              <w:left w:val="nil"/>
              <w:bottom w:val="single" w:sz="4" w:space="0" w:color="auto"/>
              <w:right w:val="single" w:sz="4" w:space="0" w:color="auto"/>
            </w:tcBorders>
            <w:shd w:val="clear" w:color="auto" w:fill="auto"/>
            <w:noWrap/>
            <w:vAlign w:val="center"/>
            <w:hideMark/>
          </w:tcPr>
          <w:p w14:paraId="7CE801FB"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8,840.00 </w:t>
            </w:r>
          </w:p>
        </w:tc>
        <w:tc>
          <w:tcPr>
            <w:tcW w:w="2880" w:type="dxa"/>
            <w:tcBorders>
              <w:top w:val="nil"/>
              <w:left w:val="nil"/>
              <w:bottom w:val="single" w:sz="4" w:space="0" w:color="auto"/>
              <w:right w:val="single" w:sz="4" w:space="0" w:color="auto"/>
            </w:tcBorders>
            <w:shd w:val="clear" w:color="auto" w:fill="auto"/>
            <w:noWrap/>
            <w:vAlign w:val="center"/>
            <w:hideMark/>
          </w:tcPr>
          <w:p w14:paraId="6BA0E6D4"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Collections from old accounts</w:t>
            </w:r>
          </w:p>
        </w:tc>
        <w:tc>
          <w:tcPr>
            <w:tcW w:w="1980" w:type="dxa"/>
            <w:tcBorders>
              <w:top w:val="nil"/>
              <w:left w:val="nil"/>
              <w:bottom w:val="single" w:sz="4" w:space="0" w:color="auto"/>
              <w:right w:val="single" w:sz="4" w:space="0" w:color="auto"/>
            </w:tcBorders>
            <w:shd w:val="clear" w:color="auto" w:fill="auto"/>
            <w:noWrap/>
            <w:vAlign w:val="center"/>
            <w:hideMark/>
          </w:tcPr>
          <w:p w14:paraId="16C43B8B"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School Fees</w:t>
            </w:r>
          </w:p>
        </w:tc>
      </w:tr>
      <w:tr w:rsidR="00742B6D" w:rsidRPr="00824BC0" w14:paraId="07930416"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374A6644"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PT</w:t>
            </w:r>
          </w:p>
        </w:tc>
        <w:tc>
          <w:tcPr>
            <w:tcW w:w="1710" w:type="dxa"/>
            <w:tcBorders>
              <w:top w:val="nil"/>
              <w:left w:val="nil"/>
              <w:bottom w:val="single" w:sz="4" w:space="0" w:color="auto"/>
              <w:right w:val="single" w:sz="4" w:space="0" w:color="auto"/>
            </w:tcBorders>
            <w:shd w:val="clear" w:color="auto" w:fill="auto"/>
            <w:noWrap/>
            <w:vAlign w:val="center"/>
            <w:hideMark/>
          </w:tcPr>
          <w:p w14:paraId="3C420583"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4,000.00 </w:t>
            </w:r>
          </w:p>
        </w:tc>
        <w:tc>
          <w:tcPr>
            <w:tcW w:w="2880" w:type="dxa"/>
            <w:tcBorders>
              <w:top w:val="nil"/>
              <w:left w:val="nil"/>
              <w:bottom w:val="single" w:sz="4" w:space="0" w:color="auto"/>
              <w:right w:val="single" w:sz="4" w:space="0" w:color="auto"/>
            </w:tcBorders>
            <w:shd w:val="clear" w:color="auto" w:fill="auto"/>
            <w:noWrap/>
            <w:vAlign w:val="center"/>
            <w:hideMark/>
          </w:tcPr>
          <w:p w14:paraId="4BDA4A7B"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Collections from old accounts</w:t>
            </w:r>
          </w:p>
        </w:tc>
        <w:tc>
          <w:tcPr>
            <w:tcW w:w="1980" w:type="dxa"/>
            <w:tcBorders>
              <w:top w:val="nil"/>
              <w:left w:val="nil"/>
              <w:bottom w:val="single" w:sz="4" w:space="0" w:color="auto"/>
              <w:right w:val="single" w:sz="4" w:space="0" w:color="auto"/>
            </w:tcBorders>
            <w:shd w:val="clear" w:color="auto" w:fill="auto"/>
            <w:noWrap/>
            <w:vAlign w:val="center"/>
            <w:hideMark/>
          </w:tcPr>
          <w:p w14:paraId="10682D00"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School Fees</w:t>
            </w:r>
          </w:p>
        </w:tc>
      </w:tr>
      <w:tr w:rsidR="00742B6D" w:rsidRPr="00824BC0" w14:paraId="25D6D481"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2E10847A"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Research Journal</w:t>
            </w:r>
          </w:p>
        </w:tc>
        <w:tc>
          <w:tcPr>
            <w:tcW w:w="1710" w:type="dxa"/>
            <w:tcBorders>
              <w:top w:val="nil"/>
              <w:left w:val="nil"/>
              <w:bottom w:val="single" w:sz="4" w:space="0" w:color="auto"/>
              <w:right w:val="single" w:sz="4" w:space="0" w:color="auto"/>
            </w:tcBorders>
            <w:shd w:val="clear" w:color="auto" w:fill="auto"/>
            <w:noWrap/>
            <w:vAlign w:val="center"/>
            <w:hideMark/>
          </w:tcPr>
          <w:p w14:paraId="4AB716E9"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721,749.50 </w:t>
            </w:r>
          </w:p>
        </w:tc>
        <w:tc>
          <w:tcPr>
            <w:tcW w:w="2880" w:type="dxa"/>
            <w:tcBorders>
              <w:top w:val="nil"/>
              <w:left w:val="nil"/>
              <w:bottom w:val="single" w:sz="4" w:space="0" w:color="auto"/>
              <w:right w:val="single" w:sz="4" w:space="0" w:color="auto"/>
            </w:tcBorders>
            <w:shd w:val="clear" w:color="auto" w:fill="auto"/>
            <w:noWrap/>
            <w:vAlign w:val="center"/>
            <w:hideMark/>
          </w:tcPr>
          <w:p w14:paraId="6CF6B345"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Collections of student miscellaneous fee from CHED</w:t>
            </w:r>
          </w:p>
        </w:tc>
        <w:tc>
          <w:tcPr>
            <w:tcW w:w="1980" w:type="dxa"/>
            <w:tcBorders>
              <w:top w:val="nil"/>
              <w:left w:val="nil"/>
              <w:bottom w:val="single" w:sz="4" w:space="0" w:color="auto"/>
              <w:right w:val="single" w:sz="4" w:space="0" w:color="auto"/>
            </w:tcBorders>
            <w:shd w:val="clear" w:color="auto" w:fill="auto"/>
            <w:noWrap/>
            <w:vAlign w:val="center"/>
            <w:hideMark/>
          </w:tcPr>
          <w:p w14:paraId="4F485AF9"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School Fees</w:t>
            </w:r>
          </w:p>
        </w:tc>
      </w:tr>
      <w:tr w:rsidR="00742B6D" w:rsidRPr="00824BC0" w14:paraId="4D2A8918"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3DA32EBB"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Samahang Panitik</w:t>
            </w:r>
          </w:p>
        </w:tc>
        <w:tc>
          <w:tcPr>
            <w:tcW w:w="1710" w:type="dxa"/>
            <w:tcBorders>
              <w:top w:val="nil"/>
              <w:left w:val="nil"/>
              <w:bottom w:val="single" w:sz="4" w:space="0" w:color="auto"/>
              <w:right w:val="single" w:sz="4" w:space="0" w:color="auto"/>
            </w:tcBorders>
            <w:shd w:val="clear" w:color="auto" w:fill="auto"/>
            <w:noWrap/>
            <w:vAlign w:val="center"/>
            <w:hideMark/>
          </w:tcPr>
          <w:p w14:paraId="38449BEB"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30,049.34 </w:t>
            </w:r>
          </w:p>
        </w:tc>
        <w:tc>
          <w:tcPr>
            <w:tcW w:w="2880" w:type="dxa"/>
            <w:tcBorders>
              <w:top w:val="nil"/>
              <w:left w:val="nil"/>
              <w:bottom w:val="single" w:sz="4" w:space="0" w:color="auto"/>
              <w:right w:val="single" w:sz="4" w:space="0" w:color="auto"/>
            </w:tcBorders>
            <w:shd w:val="clear" w:color="auto" w:fill="auto"/>
            <w:noWrap/>
            <w:vAlign w:val="center"/>
            <w:hideMark/>
          </w:tcPr>
          <w:p w14:paraId="3B1E53FF"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Collections of student miscellaneous fee from CHED</w:t>
            </w:r>
          </w:p>
        </w:tc>
        <w:tc>
          <w:tcPr>
            <w:tcW w:w="1980" w:type="dxa"/>
            <w:tcBorders>
              <w:top w:val="nil"/>
              <w:left w:val="nil"/>
              <w:bottom w:val="single" w:sz="4" w:space="0" w:color="auto"/>
              <w:right w:val="single" w:sz="4" w:space="0" w:color="auto"/>
            </w:tcBorders>
            <w:shd w:val="clear" w:color="auto" w:fill="auto"/>
            <w:noWrap/>
            <w:vAlign w:val="center"/>
            <w:hideMark/>
          </w:tcPr>
          <w:p w14:paraId="15893E5F"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School Fees</w:t>
            </w:r>
          </w:p>
        </w:tc>
      </w:tr>
      <w:tr w:rsidR="00742B6D" w:rsidRPr="00824BC0" w14:paraId="0923A160"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73DA3B9A"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School Uniform</w:t>
            </w:r>
          </w:p>
        </w:tc>
        <w:tc>
          <w:tcPr>
            <w:tcW w:w="1710" w:type="dxa"/>
            <w:tcBorders>
              <w:top w:val="nil"/>
              <w:left w:val="nil"/>
              <w:bottom w:val="single" w:sz="4" w:space="0" w:color="auto"/>
              <w:right w:val="single" w:sz="4" w:space="0" w:color="auto"/>
            </w:tcBorders>
            <w:shd w:val="clear" w:color="auto" w:fill="auto"/>
            <w:noWrap/>
            <w:vAlign w:val="center"/>
            <w:hideMark/>
          </w:tcPr>
          <w:p w14:paraId="162D73A4"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53,965.00 </w:t>
            </w:r>
          </w:p>
        </w:tc>
        <w:tc>
          <w:tcPr>
            <w:tcW w:w="2880" w:type="dxa"/>
            <w:tcBorders>
              <w:top w:val="nil"/>
              <w:left w:val="nil"/>
              <w:bottom w:val="single" w:sz="4" w:space="0" w:color="auto"/>
              <w:right w:val="single" w:sz="4" w:space="0" w:color="auto"/>
            </w:tcBorders>
            <w:shd w:val="clear" w:color="auto" w:fill="auto"/>
            <w:noWrap/>
            <w:vAlign w:val="center"/>
            <w:hideMark/>
          </w:tcPr>
          <w:p w14:paraId="68BA153F"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Collections from old accounts</w:t>
            </w:r>
          </w:p>
        </w:tc>
        <w:tc>
          <w:tcPr>
            <w:tcW w:w="1980" w:type="dxa"/>
            <w:tcBorders>
              <w:top w:val="nil"/>
              <w:left w:val="nil"/>
              <w:bottom w:val="single" w:sz="4" w:space="0" w:color="auto"/>
              <w:right w:val="single" w:sz="4" w:space="0" w:color="auto"/>
            </w:tcBorders>
            <w:shd w:val="clear" w:color="auto" w:fill="auto"/>
            <w:noWrap/>
            <w:vAlign w:val="center"/>
            <w:hideMark/>
          </w:tcPr>
          <w:p w14:paraId="45CDF458"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School Fees</w:t>
            </w:r>
          </w:p>
        </w:tc>
      </w:tr>
      <w:tr w:rsidR="00742B6D" w:rsidRPr="00824BC0" w14:paraId="466A7F2C"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36F28557"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Soil Tiller</w:t>
            </w:r>
          </w:p>
        </w:tc>
        <w:tc>
          <w:tcPr>
            <w:tcW w:w="1710" w:type="dxa"/>
            <w:tcBorders>
              <w:top w:val="nil"/>
              <w:left w:val="nil"/>
              <w:bottom w:val="single" w:sz="4" w:space="0" w:color="auto"/>
              <w:right w:val="single" w:sz="4" w:space="0" w:color="auto"/>
            </w:tcBorders>
            <w:shd w:val="clear" w:color="auto" w:fill="auto"/>
            <w:noWrap/>
            <w:vAlign w:val="center"/>
            <w:hideMark/>
          </w:tcPr>
          <w:p w14:paraId="10F22D8E"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      842,946.74 </w:t>
            </w:r>
          </w:p>
        </w:tc>
        <w:tc>
          <w:tcPr>
            <w:tcW w:w="2880" w:type="dxa"/>
            <w:tcBorders>
              <w:top w:val="nil"/>
              <w:left w:val="nil"/>
              <w:bottom w:val="single" w:sz="4" w:space="0" w:color="auto"/>
              <w:right w:val="single" w:sz="4" w:space="0" w:color="auto"/>
            </w:tcBorders>
            <w:shd w:val="clear" w:color="auto" w:fill="auto"/>
            <w:noWrap/>
            <w:vAlign w:val="center"/>
            <w:hideMark/>
          </w:tcPr>
          <w:p w14:paraId="35CA56FC"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Collections of student miscellaneous fee from CHED</w:t>
            </w:r>
          </w:p>
        </w:tc>
        <w:tc>
          <w:tcPr>
            <w:tcW w:w="1980" w:type="dxa"/>
            <w:tcBorders>
              <w:top w:val="nil"/>
              <w:left w:val="nil"/>
              <w:bottom w:val="single" w:sz="4" w:space="0" w:color="auto"/>
              <w:right w:val="single" w:sz="4" w:space="0" w:color="auto"/>
            </w:tcBorders>
            <w:shd w:val="clear" w:color="auto" w:fill="auto"/>
            <w:noWrap/>
            <w:vAlign w:val="center"/>
            <w:hideMark/>
          </w:tcPr>
          <w:p w14:paraId="2E77D671"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School Fees</w:t>
            </w:r>
          </w:p>
        </w:tc>
      </w:tr>
      <w:tr w:rsidR="00742B6D" w:rsidRPr="00824BC0" w14:paraId="176D0E73"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7E9D97D1"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Speech Laboratory</w:t>
            </w:r>
          </w:p>
        </w:tc>
        <w:tc>
          <w:tcPr>
            <w:tcW w:w="1710" w:type="dxa"/>
            <w:tcBorders>
              <w:top w:val="nil"/>
              <w:left w:val="nil"/>
              <w:bottom w:val="single" w:sz="4" w:space="0" w:color="auto"/>
              <w:right w:val="single" w:sz="4" w:space="0" w:color="auto"/>
            </w:tcBorders>
            <w:shd w:val="clear" w:color="auto" w:fill="auto"/>
            <w:noWrap/>
            <w:vAlign w:val="center"/>
            <w:hideMark/>
          </w:tcPr>
          <w:p w14:paraId="7ED62F26"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31,891.11 </w:t>
            </w:r>
          </w:p>
        </w:tc>
        <w:tc>
          <w:tcPr>
            <w:tcW w:w="2880" w:type="dxa"/>
            <w:tcBorders>
              <w:top w:val="nil"/>
              <w:left w:val="nil"/>
              <w:bottom w:val="single" w:sz="4" w:space="0" w:color="auto"/>
              <w:right w:val="single" w:sz="4" w:space="0" w:color="auto"/>
            </w:tcBorders>
            <w:shd w:val="clear" w:color="auto" w:fill="auto"/>
            <w:noWrap/>
            <w:vAlign w:val="center"/>
            <w:hideMark/>
          </w:tcPr>
          <w:p w14:paraId="79DBB951"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Collections from old accounts</w:t>
            </w:r>
          </w:p>
        </w:tc>
        <w:tc>
          <w:tcPr>
            <w:tcW w:w="1980" w:type="dxa"/>
            <w:tcBorders>
              <w:top w:val="nil"/>
              <w:left w:val="nil"/>
              <w:bottom w:val="single" w:sz="4" w:space="0" w:color="auto"/>
              <w:right w:val="single" w:sz="4" w:space="0" w:color="auto"/>
            </w:tcBorders>
            <w:shd w:val="clear" w:color="auto" w:fill="auto"/>
            <w:noWrap/>
            <w:vAlign w:val="center"/>
            <w:hideMark/>
          </w:tcPr>
          <w:p w14:paraId="7D6143A5"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School Fees</w:t>
            </w:r>
          </w:p>
        </w:tc>
      </w:tr>
      <w:tr w:rsidR="00742B6D" w:rsidRPr="00824BC0" w14:paraId="0A516F00"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4DD00ED8"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SSC</w:t>
            </w:r>
          </w:p>
        </w:tc>
        <w:tc>
          <w:tcPr>
            <w:tcW w:w="1710" w:type="dxa"/>
            <w:tcBorders>
              <w:top w:val="nil"/>
              <w:left w:val="nil"/>
              <w:bottom w:val="single" w:sz="4" w:space="0" w:color="auto"/>
              <w:right w:val="single" w:sz="4" w:space="0" w:color="auto"/>
            </w:tcBorders>
            <w:shd w:val="clear" w:color="auto" w:fill="auto"/>
            <w:noWrap/>
            <w:vAlign w:val="center"/>
            <w:hideMark/>
          </w:tcPr>
          <w:p w14:paraId="41D64FBB"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698,404.69 </w:t>
            </w:r>
          </w:p>
        </w:tc>
        <w:tc>
          <w:tcPr>
            <w:tcW w:w="2880" w:type="dxa"/>
            <w:tcBorders>
              <w:top w:val="nil"/>
              <w:left w:val="nil"/>
              <w:bottom w:val="single" w:sz="4" w:space="0" w:color="auto"/>
              <w:right w:val="single" w:sz="4" w:space="0" w:color="auto"/>
            </w:tcBorders>
            <w:shd w:val="clear" w:color="auto" w:fill="auto"/>
            <w:noWrap/>
            <w:vAlign w:val="center"/>
            <w:hideMark/>
          </w:tcPr>
          <w:p w14:paraId="55BD9BEA"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Collections of student miscellaneous fee from CHED</w:t>
            </w:r>
          </w:p>
        </w:tc>
        <w:tc>
          <w:tcPr>
            <w:tcW w:w="1980" w:type="dxa"/>
            <w:tcBorders>
              <w:top w:val="nil"/>
              <w:left w:val="nil"/>
              <w:bottom w:val="single" w:sz="4" w:space="0" w:color="auto"/>
              <w:right w:val="single" w:sz="4" w:space="0" w:color="auto"/>
            </w:tcBorders>
            <w:shd w:val="clear" w:color="auto" w:fill="auto"/>
            <w:noWrap/>
            <w:vAlign w:val="center"/>
            <w:hideMark/>
          </w:tcPr>
          <w:p w14:paraId="661337D2"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School Fees</w:t>
            </w:r>
          </w:p>
        </w:tc>
      </w:tr>
      <w:tr w:rsidR="00742B6D" w:rsidRPr="00824BC0" w14:paraId="2F872429"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711C0234"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Student Handbook</w:t>
            </w:r>
          </w:p>
        </w:tc>
        <w:tc>
          <w:tcPr>
            <w:tcW w:w="1710" w:type="dxa"/>
            <w:tcBorders>
              <w:top w:val="nil"/>
              <w:left w:val="nil"/>
              <w:bottom w:val="single" w:sz="4" w:space="0" w:color="auto"/>
              <w:right w:val="single" w:sz="4" w:space="0" w:color="auto"/>
            </w:tcBorders>
            <w:shd w:val="clear" w:color="auto" w:fill="auto"/>
            <w:noWrap/>
            <w:vAlign w:val="center"/>
            <w:hideMark/>
          </w:tcPr>
          <w:p w14:paraId="5A8D6F5D"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31,620.00 </w:t>
            </w:r>
          </w:p>
        </w:tc>
        <w:tc>
          <w:tcPr>
            <w:tcW w:w="2880" w:type="dxa"/>
            <w:tcBorders>
              <w:top w:val="nil"/>
              <w:left w:val="nil"/>
              <w:bottom w:val="single" w:sz="4" w:space="0" w:color="auto"/>
              <w:right w:val="single" w:sz="4" w:space="0" w:color="auto"/>
            </w:tcBorders>
            <w:shd w:val="clear" w:color="auto" w:fill="auto"/>
            <w:noWrap/>
            <w:vAlign w:val="center"/>
            <w:hideMark/>
          </w:tcPr>
          <w:p w14:paraId="7EF620F7"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Collections of student miscellaneous fee from CHED</w:t>
            </w:r>
          </w:p>
        </w:tc>
        <w:tc>
          <w:tcPr>
            <w:tcW w:w="1980" w:type="dxa"/>
            <w:tcBorders>
              <w:top w:val="nil"/>
              <w:left w:val="nil"/>
              <w:bottom w:val="single" w:sz="4" w:space="0" w:color="auto"/>
              <w:right w:val="single" w:sz="4" w:space="0" w:color="auto"/>
            </w:tcBorders>
            <w:shd w:val="clear" w:color="auto" w:fill="auto"/>
            <w:noWrap/>
            <w:vAlign w:val="center"/>
            <w:hideMark/>
          </w:tcPr>
          <w:p w14:paraId="435BB04C"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School Fees</w:t>
            </w:r>
          </w:p>
        </w:tc>
      </w:tr>
      <w:tr w:rsidR="00742B6D" w:rsidRPr="00824BC0" w14:paraId="16C97DF7"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6E82F67C"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Theater Play fee</w:t>
            </w:r>
          </w:p>
        </w:tc>
        <w:tc>
          <w:tcPr>
            <w:tcW w:w="1710" w:type="dxa"/>
            <w:tcBorders>
              <w:top w:val="nil"/>
              <w:left w:val="nil"/>
              <w:bottom w:val="single" w:sz="4" w:space="0" w:color="auto"/>
              <w:right w:val="single" w:sz="4" w:space="0" w:color="auto"/>
            </w:tcBorders>
            <w:shd w:val="clear" w:color="auto" w:fill="auto"/>
            <w:noWrap/>
            <w:vAlign w:val="center"/>
            <w:hideMark/>
          </w:tcPr>
          <w:p w14:paraId="3136D8BA"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1,800.00 </w:t>
            </w:r>
          </w:p>
        </w:tc>
        <w:tc>
          <w:tcPr>
            <w:tcW w:w="2880" w:type="dxa"/>
            <w:tcBorders>
              <w:top w:val="nil"/>
              <w:left w:val="nil"/>
              <w:bottom w:val="single" w:sz="4" w:space="0" w:color="auto"/>
              <w:right w:val="single" w:sz="4" w:space="0" w:color="auto"/>
            </w:tcBorders>
            <w:shd w:val="clear" w:color="auto" w:fill="auto"/>
            <w:noWrap/>
            <w:vAlign w:val="center"/>
            <w:hideMark/>
          </w:tcPr>
          <w:p w14:paraId="20251DC8"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Collections from old accounts</w:t>
            </w:r>
          </w:p>
        </w:tc>
        <w:tc>
          <w:tcPr>
            <w:tcW w:w="1980" w:type="dxa"/>
            <w:tcBorders>
              <w:top w:val="nil"/>
              <w:left w:val="nil"/>
              <w:bottom w:val="single" w:sz="4" w:space="0" w:color="auto"/>
              <w:right w:val="single" w:sz="4" w:space="0" w:color="auto"/>
            </w:tcBorders>
            <w:shd w:val="clear" w:color="auto" w:fill="auto"/>
            <w:noWrap/>
            <w:vAlign w:val="center"/>
            <w:hideMark/>
          </w:tcPr>
          <w:p w14:paraId="4AF43CB3"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School Fees</w:t>
            </w:r>
          </w:p>
        </w:tc>
      </w:tr>
      <w:tr w:rsidR="00742B6D" w:rsidRPr="00824BC0" w14:paraId="2AB1A82B"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4AF22587" w14:textId="77777777" w:rsidR="00742B6D" w:rsidRPr="00824BC0" w:rsidRDefault="00742B6D" w:rsidP="00742B6D">
            <w:pPr>
              <w:spacing w:after="0" w:line="240" w:lineRule="auto"/>
              <w:rPr>
                <w:rFonts w:ascii="Times New Roman" w:hAnsi="Times New Roman" w:cs="Times New Roman"/>
                <w:i/>
                <w:iCs/>
                <w:color w:val="000000"/>
                <w:sz w:val="24"/>
                <w:szCs w:val="24"/>
                <w:lang w:eastAsia="en-PH"/>
              </w:rPr>
            </w:pPr>
            <w:r w:rsidRPr="00824BC0">
              <w:rPr>
                <w:rFonts w:ascii="Times New Roman" w:hAnsi="Times New Roman" w:cs="Times New Roman"/>
                <w:i/>
                <w:iCs/>
                <w:color w:val="000000"/>
                <w:sz w:val="24"/>
                <w:szCs w:val="24"/>
                <w:lang w:eastAsia="en-PH"/>
              </w:rPr>
              <w:t>Total</w:t>
            </w:r>
          </w:p>
        </w:tc>
        <w:tc>
          <w:tcPr>
            <w:tcW w:w="1710" w:type="dxa"/>
            <w:tcBorders>
              <w:top w:val="nil"/>
              <w:left w:val="nil"/>
              <w:bottom w:val="single" w:sz="4" w:space="0" w:color="auto"/>
              <w:right w:val="single" w:sz="4" w:space="0" w:color="auto"/>
            </w:tcBorders>
            <w:shd w:val="clear" w:color="auto" w:fill="auto"/>
            <w:noWrap/>
            <w:vAlign w:val="center"/>
            <w:hideMark/>
          </w:tcPr>
          <w:p w14:paraId="469679BE" w14:textId="77777777" w:rsidR="00742B6D" w:rsidRPr="00824BC0" w:rsidRDefault="00742B6D" w:rsidP="00742B6D">
            <w:pPr>
              <w:spacing w:after="0" w:line="240" w:lineRule="auto"/>
              <w:jc w:val="right"/>
              <w:rPr>
                <w:rFonts w:ascii="Times New Roman" w:hAnsi="Times New Roman" w:cs="Times New Roman"/>
                <w:i/>
                <w:iCs/>
                <w:color w:val="000000"/>
                <w:sz w:val="24"/>
                <w:szCs w:val="24"/>
                <w:lang w:eastAsia="en-PH"/>
              </w:rPr>
            </w:pPr>
            <w:r w:rsidRPr="00824BC0">
              <w:rPr>
                <w:rFonts w:ascii="Times New Roman" w:hAnsi="Times New Roman" w:cs="Times New Roman"/>
                <w:i/>
                <w:iCs/>
                <w:color w:val="000000"/>
                <w:sz w:val="24"/>
                <w:szCs w:val="24"/>
                <w:lang w:eastAsia="en-PH"/>
              </w:rPr>
              <w:t xml:space="preserve">4,084,208.16 </w:t>
            </w:r>
          </w:p>
        </w:tc>
        <w:tc>
          <w:tcPr>
            <w:tcW w:w="2880" w:type="dxa"/>
            <w:tcBorders>
              <w:top w:val="nil"/>
              <w:left w:val="nil"/>
              <w:bottom w:val="single" w:sz="4" w:space="0" w:color="auto"/>
              <w:right w:val="single" w:sz="4" w:space="0" w:color="auto"/>
            </w:tcBorders>
            <w:shd w:val="clear" w:color="auto" w:fill="auto"/>
            <w:noWrap/>
            <w:vAlign w:val="center"/>
            <w:hideMark/>
          </w:tcPr>
          <w:p w14:paraId="15C955BA"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w:t>
            </w:r>
          </w:p>
        </w:tc>
        <w:tc>
          <w:tcPr>
            <w:tcW w:w="1980" w:type="dxa"/>
            <w:tcBorders>
              <w:top w:val="nil"/>
              <w:left w:val="nil"/>
              <w:bottom w:val="single" w:sz="4" w:space="0" w:color="auto"/>
              <w:right w:val="single" w:sz="4" w:space="0" w:color="auto"/>
            </w:tcBorders>
            <w:shd w:val="clear" w:color="auto" w:fill="auto"/>
            <w:noWrap/>
            <w:vAlign w:val="center"/>
            <w:hideMark/>
          </w:tcPr>
          <w:p w14:paraId="67EA8308"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w:t>
            </w:r>
          </w:p>
        </w:tc>
      </w:tr>
      <w:tr w:rsidR="00742B6D" w:rsidRPr="00824BC0" w14:paraId="51ED8863" w14:textId="77777777" w:rsidTr="008017C3">
        <w:trPr>
          <w:trHeight w:val="300"/>
        </w:trPr>
        <w:tc>
          <w:tcPr>
            <w:tcW w:w="8635" w:type="dxa"/>
            <w:gridSpan w:val="4"/>
            <w:tcBorders>
              <w:top w:val="nil"/>
              <w:left w:val="single" w:sz="4" w:space="0" w:color="auto"/>
              <w:bottom w:val="single" w:sz="4" w:space="0" w:color="auto"/>
              <w:right w:val="single" w:sz="4" w:space="0" w:color="auto"/>
            </w:tcBorders>
            <w:shd w:val="clear" w:color="auto" w:fill="auto"/>
            <w:noWrap/>
            <w:vAlign w:val="center"/>
            <w:hideMark/>
          </w:tcPr>
          <w:p w14:paraId="7C8D406D"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i/>
                <w:iCs/>
                <w:color w:val="000000"/>
                <w:sz w:val="24"/>
                <w:szCs w:val="24"/>
                <w:lang w:eastAsia="en-PH"/>
              </w:rPr>
              <w:t>Other Payables - Miscellaneous (Fund 164)</w:t>
            </w:r>
          </w:p>
        </w:tc>
      </w:tr>
      <w:tr w:rsidR="00742B6D" w:rsidRPr="00824BC0" w14:paraId="6F276789"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2096224C"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IGS Journal/ Bulletin</w:t>
            </w:r>
          </w:p>
        </w:tc>
        <w:tc>
          <w:tcPr>
            <w:tcW w:w="1710" w:type="dxa"/>
            <w:tcBorders>
              <w:top w:val="nil"/>
              <w:left w:val="nil"/>
              <w:bottom w:val="single" w:sz="4" w:space="0" w:color="auto"/>
              <w:right w:val="single" w:sz="4" w:space="0" w:color="auto"/>
            </w:tcBorders>
            <w:shd w:val="clear" w:color="auto" w:fill="auto"/>
            <w:noWrap/>
            <w:vAlign w:val="center"/>
            <w:hideMark/>
          </w:tcPr>
          <w:p w14:paraId="3AAE7967"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542,028.12 </w:t>
            </w:r>
          </w:p>
        </w:tc>
        <w:tc>
          <w:tcPr>
            <w:tcW w:w="2880" w:type="dxa"/>
            <w:tcBorders>
              <w:top w:val="nil"/>
              <w:left w:val="nil"/>
              <w:bottom w:val="single" w:sz="4" w:space="0" w:color="auto"/>
              <w:right w:val="single" w:sz="4" w:space="0" w:color="auto"/>
            </w:tcBorders>
            <w:shd w:val="clear" w:color="auto" w:fill="auto"/>
            <w:noWrap/>
            <w:vAlign w:val="center"/>
            <w:hideMark/>
          </w:tcPr>
          <w:p w14:paraId="52743C4F"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Collection of miscellaneous fee from Graduate Studies students</w:t>
            </w:r>
          </w:p>
        </w:tc>
        <w:tc>
          <w:tcPr>
            <w:tcW w:w="1980" w:type="dxa"/>
            <w:tcBorders>
              <w:top w:val="nil"/>
              <w:left w:val="nil"/>
              <w:bottom w:val="single" w:sz="4" w:space="0" w:color="auto"/>
              <w:right w:val="single" w:sz="4" w:space="0" w:color="auto"/>
            </w:tcBorders>
            <w:shd w:val="clear" w:color="auto" w:fill="auto"/>
            <w:noWrap/>
            <w:vAlign w:val="center"/>
            <w:hideMark/>
          </w:tcPr>
          <w:p w14:paraId="503A7F03"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School Fees</w:t>
            </w:r>
          </w:p>
        </w:tc>
      </w:tr>
      <w:tr w:rsidR="00742B6D" w:rsidRPr="00824BC0" w14:paraId="16B0B73A"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55BBDD9E"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lastRenderedPageBreak/>
              <w:t>IGS Membership fee</w:t>
            </w:r>
          </w:p>
        </w:tc>
        <w:tc>
          <w:tcPr>
            <w:tcW w:w="1710" w:type="dxa"/>
            <w:tcBorders>
              <w:top w:val="nil"/>
              <w:left w:val="nil"/>
              <w:bottom w:val="single" w:sz="4" w:space="0" w:color="auto"/>
              <w:right w:val="single" w:sz="4" w:space="0" w:color="auto"/>
            </w:tcBorders>
            <w:shd w:val="clear" w:color="auto" w:fill="auto"/>
            <w:noWrap/>
            <w:vAlign w:val="center"/>
            <w:hideMark/>
          </w:tcPr>
          <w:p w14:paraId="2331D124"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531,959.21 </w:t>
            </w:r>
          </w:p>
        </w:tc>
        <w:tc>
          <w:tcPr>
            <w:tcW w:w="2880" w:type="dxa"/>
            <w:tcBorders>
              <w:top w:val="nil"/>
              <w:left w:val="nil"/>
              <w:bottom w:val="single" w:sz="4" w:space="0" w:color="auto"/>
              <w:right w:val="single" w:sz="4" w:space="0" w:color="auto"/>
            </w:tcBorders>
            <w:shd w:val="clear" w:color="auto" w:fill="auto"/>
            <w:noWrap/>
            <w:vAlign w:val="center"/>
            <w:hideMark/>
          </w:tcPr>
          <w:p w14:paraId="49310448"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Collection of miscellaneous fee from Graduate Studies students</w:t>
            </w:r>
          </w:p>
        </w:tc>
        <w:tc>
          <w:tcPr>
            <w:tcW w:w="1980" w:type="dxa"/>
            <w:tcBorders>
              <w:top w:val="nil"/>
              <w:left w:val="nil"/>
              <w:bottom w:val="single" w:sz="4" w:space="0" w:color="auto"/>
              <w:right w:val="single" w:sz="4" w:space="0" w:color="auto"/>
            </w:tcBorders>
            <w:shd w:val="clear" w:color="auto" w:fill="auto"/>
            <w:noWrap/>
            <w:vAlign w:val="center"/>
            <w:hideMark/>
          </w:tcPr>
          <w:p w14:paraId="787E0C74"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School Fees</w:t>
            </w:r>
          </w:p>
        </w:tc>
      </w:tr>
      <w:tr w:rsidR="00742B6D" w:rsidRPr="00824BC0" w14:paraId="04A4D83C"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1471F3EE"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IGS Graduate Journal</w:t>
            </w:r>
          </w:p>
        </w:tc>
        <w:tc>
          <w:tcPr>
            <w:tcW w:w="1710" w:type="dxa"/>
            <w:tcBorders>
              <w:top w:val="nil"/>
              <w:left w:val="nil"/>
              <w:bottom w:val="single" w:sz="4" w:space="0" w:color="auto"/>
              <w:right w:val="single" w:sz="4" w:space="0" w:color="auto"/>
            </w:tcBorders>
            <w:shd w:val="clear" w:color="auto" w:fill="auto"/>
            <w:noWrap/>
            <w:vAlign w:val="center"/>
            <w:hideMark/>
          </w:tcPr>
          <w:p w14:paraId="72A7AC5A"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838,331.05 </w:t>
            </w:r>
          </w:p>
        </w:tc>
        <w:tc>
          <w:tcPr>
            <w:tcW w:w="2880" w:type="dxa"/>
            <w:tcBorders>
              <w:top w:val="nil"/>
              <w:left w:val="nil"/>
              <w:bottom w:val="single" w:sz="4" w:space="0" w:color="auto"/>
              <w:right w:val="single" w:sz="4" w:space="0" w:color="auto"/>
            </w:tcBorders>
            <w:shd w:val="clear" w:color="auto" w:fill="auto"/>
            <w:noWrap/>
            <w:vAlign w:val="center"/>
            <w:hideMark/>
          </w:tcPr>
          <w:p w14:paraId="258BF00F"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Collection of miscellaneous fee from Graduate Studies students</w:t>
            </w:r>
          </w:p>
        </w:tc>
        <w:tc>
          <w:tcPr>
            <w:tcW w:w="1980" w:type="dxa"/>
            <w:tcBorders>
              <w:top w:val="nil"/>
              <w:left w:val="nil"/>
              <w:bottom w:val="single" w:sz="4" w:space="0" w:color="auto"/>
              <w:right w:val="single" w:sz="4" w:space="0" w:color="auto"/>
            </w:tcBorders>
            <w:shd w:val="clear" w:color="auto" w:fill="auto"/>
            <w:noWrap/>
            <w:vAlign w:val="center"/>
            <w:hideMark/>
          </w:tcPr>
          <w:p w14:paraId="04853091"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School Fees</w:t>
            </w:r>
          </w:p>
        </w:tc>
      </w:tr>
      <w:tr w:rsidR="00742B6D" w:rsidRPr="00824BC0" w14:paraId="4B159D80"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43083A0F"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LET/LEA Review</w:t>
            </w:r>
          </w:p>
        </w:tc>
        <w:tc>
          <w:tcPr>
            <w:tcW w:w="1710" w:type="dxa"/>
            <w:tcBorders>
              <w:top w:val="nil"/>
              <w:left w:val="nil"/>
              <w:bottom w:val="single" w:sz="4" w:space="0" w:color="auto"/>
              <w:right w:val="single" w:sz="4" w:space="0" w:color="auto"/>
            </w:tcBorders>
            <w:shd w:val="clear" w:color="auto" w:fill="auto"/>
            <w:noWrap/>
            <w:vAlign w:val="center"/>
            <w:hideMark/>
          </w:tcPr>
          <w:p w14:paraId="2DA81722"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225,166.67 </w:t>
            </w:r>
          </w:p>
        </w:tc>
        <w:tc>
          <w:tcPr>
            <w:tcW w:w="2880" w:type="dxa"/>
            <w:tcBorders>
              <w:top w:val="nil"/>
              <w:left w:val="nil"/>
              <w:bottom w:val="single" w:sz="4" w:space="0" w:color="auto"/>
              <w:right w:val="single" w:sz="4" w:space="0" w:color="auto"/>
            </w:tcBorders>
            <w:shd w:val="clear" w:color="auto" w:fill="auto"/>
            <w:noWrap/>
            <w:vAlign w:val="center"/>
            <w:hideMark/>
          </w:tcPr>
          <w:p w14:paraId="248C4A58"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Collection of review fee from graduate students</w:t>
            </w:r>
          </w:p>
        </w:tc>
        <w:tc>
          <w:tcPr>
            <w:tcW w:w="1980" w:type="dxa"/>
            <w:tcBorders>
              <w:top w:val="nil"/>
              <w:left w:val="nil"/>
              <w:bottom w:val="single" w:sz="4" w:space="0" w:color="auto"/>
              <w:right w:val="single" w:sz="4" w:space="0" w:color="auto"/>
            </w:tcBorders>
            <w:shd w:val="clear" w:color="auto" w:fill="auto"/>
            <w:noWrap/>
            <w:vAlign w:val="center"/>
            <w:hideMark/>
          </w:tcPr>
          <w:p w14:paraId="350CE763"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School Fees</w:t>
            </w:r>
          </w:p>
        </w:tc>
      </w:tr>
      <w:tr w:rsidR="00742B6D" w:rsidRPr="00824BC0" w14:paraId="7270F658"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17481DDB"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Electric/Water bill</w:t>
            </w:r>
          </w:p>
        </w:tc>
        <w:tc>
          <w:tcPr>
            <w:tcW w:w="1710" w:type="dxa"/>
            <w:tcBorders>
              <w:top w:val="nil"/>
              <w:left w:val="nil"/>
              <w:bottom w:val="single" w:sz="4" w:space="0" w:color="auto"/>
              <w:right w:val="single" w:sz="4" w:space="0" w:color="auto"/>
            </w:tcBorders>
            <w:shd w:val="clear" w:color="auto" w:fill="auto"/>
            <w:noWrap/>
            <w:vAlign w:val="center"/>
            <w:hideMark/>
          </w:tcPr>
          <w:p w14:paraId="44AE12AE"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519,929.96 </w:t>
            </w:r>
          </w:p>
        </w:tc>
        <w:tc>
          <w:tcPr>
            <w:tcW w:w="2880" w:type="dxa"/>
            <w:tcBorders>
              <w:top w:val="nil"/>
              <w:left w:val="nil"/>
              <w:bottom w:val="single" w:sz="4" w:space="0" w:color="auto"/>
              <w:right w:val="single" w:sz="4" w:space="0" w:color="auto"/>
            </w:tcBorders>
            <w:shd w:val="clear" w:color="auto" w:fill="auto"/>
            <w:noWrap/>
            <w:vAlign w:val="center"/>
            <w:hideMark/>
          </w:tcPr>
          <w:p w14:paraId="650F78EC"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Collections from facilities rental and others</w:t>
            </w:r>
          </w:p>
        </w:tc>
        <w:tc>
          <w:tcPr>
            <w:tcW w:w="1980" w:type="dxa"/>
            <w:tcBorders>
              <w:top w:val="nil"/>
              <w:left w:val="nil"/>
              <w:bottom w:val="single" w:sz="4" w:space="0" w:color="auto"/>
              <w:right w:val="single" w:sz="4" w:space="0" w:color="auto"/>
            </w:tcBorders>
            <w:shd w:val="clear" w:color="auto" w:fill="auto"/>
            <w:noWrap/>
            <w:vAlign w:val="center"/>
            <w:hideMark/>
          </w:tcPr>
          <w:p w14:paraId="1D9EDC2A"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Rent/Lease Income</w:t>
            </w:r>
          </w:p>
        </w:tc>
      </w:tr>
      <w:tr w:rsidR="00742B6D" w:rsidRPr="00824BC0" w14:paraId="4B8C91A5"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72A78BEC"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LYS - Lab HS</w:t>
            </w:r>
          </w:p>
        </w:tc>
        <w:tc>
          <w:tcPr>
            <w:tcW w:w="1710" w:type="dxa"/>
            <w:tcBorders>
              <w:top w:val="nil"/>
              <w:left w:val="nil"/>
              <w:bottom w:val="single" w:sz="4" w:space="0" w:color="auto"/>
              <w:right w:val="single" w:sz="4" w:space="0" w:color="auto"/>
            </w:tcBorders>
            <w:shd w:val="clear" w:color="auto" w:fill="auto"/>
            <w:noWrap/>
            <w:vAlign w:val="center"/>
            <w:hideMark/>
          </w:tcPr>
          <w:p w14:paraId="20AFC39D"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11,736.50 </w:t>
            </w:r>
          </w:p>
        </w:tc>
        <w:tc>
          <w:tcPr>
            <w:tcW w:w="2880" w:type="dxa"/>
            <w:tcBorders>
              <w:top w:val="nil"/>
              <w:left w:val="nil"/>
              <w:bottom w:val="single" w:sz="4" w:space="0" w:color="auto"/>
              <w:right w:val="single" w:sz="4" w:space="0" w:color="auto"/>
            </w:tcBorders>
            <w:shd w:val="clear" w:color="auto" w:fill="auto"/>
            <w:noWrap/>
            <w:vAlign w:val="center"/>
            <w:hideMark/>
          </w:tcPr>
          <w:p w14:paraId="11F020A6"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Collections from old accounts from Laboratory High School</w:t>
            </w:r>
          </w:p>
        </w:tc>
        <w:tc>
          <w:tcPr>
            <w:tcW w:w="1980" w:type="dxa"/>
            <w:tcBorders>
              <w:top w:val="nil"/>
              <w:left w:val="nil"/>
              <w:bottom w:val="single" w:sz="4" w:space="0" w:color="auto"/>
              <w:right w:val="single" w:sz="4" w:space="0" w:color="auto"/>
            </w:tcBorders>
            <w:shd w:val="clear" w:color="auto" w:fill="auto"/>
            <w:noWrap/>
            <w:vAlign w:val="center"/>
            <w:hideMark/>
          </w:tcPr>
          <w:p w14:paraId="44214623"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School Fees</w:t>
            </w:r>
          </w:p>
        </w:tc>
      </w:tr>
      <w:tr w:rsidR="00742B6D" w:rsidRPr="00824BC0" w14:paraId="5EE77C9E"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6ABC341E"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Food Stand Deposit</w:t>
            </w:r>
          </w:p>
        </w:tc>
        <w:tc>
          <w:tcPr>
            <w:tcW w:w="1710" w:type="dxa"/>
            <w:tcBorders>
              <w:top w:val="nil"/>
              <w:left w:val="nil"/>
              <w:bottom w:val="single" w:sz="4" w:space="0" w:color="auto"/>
              <w:right w:val="single" w:sz="4" w:space="0" w:color="auto"/>
            </w:tcBorders>
            <w:shd w:val="clear" w:color="auto" w:fill="auto"/>
            <w:noWrap/>
            <w:vAlign w:val="center"/>
            <w:hideMark/>
          </w:tcPr>
          <w:p w14:paraId="5128402F"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28,774.00 </w:t>
            </w:r>
          </w:p>
        </w:tc>
        <w:tc>
          <w:tcPr>
            <w:tcW w:w="2880" w:type="dxa"/>
            <w:tcBorders>
              <w:top w:val="nil"/>
              <w:left w:val="nil"/>
              <w:bottom w:val="single" w:sz="4" w:space="0" w:color="auto"/>
              <w:right w:val="single" w:sz="4" w:space="0" w:color="auto"/>
            </w:tcBorders>
            <w:shd w:val="clear" w:color="auto" w:fill="auto"/>
            <w:noWrap/>
            <w:vAlign w:val="center"/>
            <w:hideMark/>
          </w:tcPr>
          <w:p w14:paraId="10332A63"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Collection from stall rental</w:t>
            </w:r>
          </w:p>
        </w:tc>
        <w:tc>
          <w:tcPr>
            <w:tcW w:w="1980" w:type="dxa"/>
            <w:tcBorders>
              <w:top w:val="nil"/>
              <w:left w:val="nil"/>
              <w:bottom w:val="single" w:sz="4" w:space="0" w:color="auto"/>
              <w:right w:val="single" w:sz="4" w:space="0" w:color="auto"/>
            </w:tcBorders>
            <w:shd w:val="clear" w:color="auto" w:fill="auto"/>
            <w:noWrap/>
            <w:vAlign w:val="center"/>
            <w:hideMark/>
          </w:tcPr>
          <w:p w14:paraId="15EDCD3E"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Rent/Lease Income</w:t>
            </w:r>
          </w:p>
        </w:tc>
      </w:tr>
      <w:tr w:rsidR="00742B6D" w:rsidRPr="00824BC0" w14:paraId="4CFEB9FD"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71A4A2F8"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Liquidated damages - LMAC</w:t>
            </w:r>
          </w:p>
        </w:tc>
        <w:tc>
          <w:tcPr>
            <w:tcW w:w="1710" w:type="dxa"/>
            <w:tcBorders>
              <w:top w:val="nil"/>
              <w:left w:val="nil"/>
              <w:bottom w:val="single" w:sz="4" w:space="0" w:color="auto"/>
              <w:right w:val="single" w:sz="4" w:space="0" w:color="auto"/>
            </w:tcBorders>
            <w:shd w:val="clear" w:color="auto" w:fill="auto"/>
            <w:noWrap/>
            <w:vAlign w:val="center"/>
            <w:hideMark/>
          </w:tcPr>
          <w:p w14:paraId="540D01AC"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143,304.24 </w:t>
            </w:r>
          </w:p>
        </w:tc>
        <w:tc>
          <w:tcPr>
            <w:tcW w:w="2880" w:type="dxa"/>
            <w:tcBorders>
              <w:top w:val="nil"/>
              <w:left w:val="nil"/>
              <w:bottom w:val="single" w:sz="4" w:space="0" w:color="auto"/>
              <w:right w:val="single" w:sz="4" w:space="0" w:color="auto"/>
            </w:tcBorders>
            <w:shd w:val="clear" w:color="auto" w:fill="auto"/>
            <w:noWrap/>
            <w:vAlign w:val="center"/>
            <w:hideMark/>
          </w:tcPr>
          <w:p w14:paraId="12060DD0"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Collection of liquidated damages from LMAC due to delayed completion</w:t>
            </w:r>
          </w:p>
        </w:tc>
        <w:tc>
          <w:tcPr>
            <w:tcW w:w="1980" w:type="dxa"/>
            <w:tcBorders>
              <w:top w:val="nil"/>
              <w:left w:val="nil"/>
              <w:bottom w:val="single" w:sz="4" w:space="0" w:color="auto"/>
              <w:right w:val="single" w:sz="4" w:space="0" w:color="auto"/>
            </w:tcBorders>
            <w:shd w:val="clear" w:color="auto" w:fill="auto"/>
            <w:noWrap/>
            <w:vAlign w:val="center"/>
            <w:hideMark/>
          </w:tcPr>
          <w:p w14:paraId="0D4C8E60"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Proceeds from Insurance/ Indemnities</w:t>
            </w:r>
          </w:p>
        </w:tc>
      </w:tr>
      <w:tr w:rsidR="00742B6D" w:rsidRPr="00824BC0" w14:paraId="23932D60"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6331F2D4"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Cattle/Carabao/ Caracow</w:t>
            </w:r>
          </w:p>
        </w:tc>
        <w:tc>
          <w:tcPr>
            <w:tcW w:w="1710" w:type="dxa"/>
            <w:tcBorders>
              <w:top w:val="nil"/>
              <w:left w:val="nil"/>
              <w:bottom w:val="single" w:sz="4" w:space="0" w:color="auto"/>
              <w:right w:val="single" w:sz="4" w:space="0" w:color="auto"/>
            </w:tcBorders>
            <w:shd w:val="clear" w:color="auto" w:fill="auto"/>
            <w:noWrap/>
            <w:vAlign w:val="center"/>
            <w:hideMark/>
          </w:tcPr>
          <w:p w14:paraId="0E3D99A4"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349,500.00 </w:t>
            </w:r>
          </w:p>
        </w:tc>
        <w:tc>
          <w:tcPr>
            <w:tcW w:w="2880" w:type="dxa"/>
            <w:tcBorders>
              <w:top w:val="nil"/>
              <w:left w:val="nil"/>
              <w:bottom w:val="single" w:sz="4" w:space="0" w:color="auto"/>
              <w:right w:val="single" w:sz="4" w:space="0" w:color="auto"/>
            </w:tcBorders>
            <w:shd w:val="clear" w:color="auto" w:fill="auto"/>
            <w:noWrap/>
            <w:vAlign w:val="center"/>
            <w:hideMark/>
          </w:tcPr>
          <w:p w14:paraId="6C3BEE42"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Collection from sales of carabao/cattle/caracow</w:t>
            </w:r>
          </w:p>
        </w:tc>
        <w:tc>
          <w:tcPr>
            <w:tcW w:w="1980" w:type="dxa"/>
            <w:tcBorders>
              <w:top w:val="nil"/>
              <w:left w:val="nil"/>
              <w:bottom w:val="single" w:sz="4" w:space="0" w:color="auto"/>
              <w:right w:val="single" w:sz="4" w:space="0" w:color="auto"/>
            </w:tcBorders>
            <w:shd w:val="clear" w:color="auto" w:fill="auto"/>
            <w:noWrap/>
            <w:vAlign w:val="center"/>
            <w:hideMark/>
          </w:tcPr>
          <w:p w14:paraId="52305755"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Gain on Sale of Biological Assets</w:t>
            </w:r>
          </w:p>
        </w:tc>
      </w:tr>
      <w:tr w:rsidR="00742B6D" w:rsidRPr="00824BC0" w14:paraId="0108F3C7"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60407904"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Male goat</w:t>
            </w:r>
          </w:p>
        </w:tc>
        <w:tc>
          <w:tcPr>
            <w:tcW w:w="1710" w:type="dxa"/>
            <w:tcBorders>
              <w:top w:val="nil"/>
              <w:left w:val="nil"/>
              <w:bottom w:val="single" w:sz="4" w:space="0" w:color="auto"/>
              <w:right w:val="single" w:sz="4" w:space="0" w:color="auto"/>
            </w:tcBorders>
            <w:shd w:val="clear" w:color="auto" w:fill="auto"/>
            <w:noWrap/>
            <w:vAlign w:val="center"/>
            <w:hideMark/>
          </w:tcPr>
          <w:p w14:paraId="246F70B0"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2,500.00 </w:t>
            </w:r>
          </w:p>
        </w:tc>
        <w:tc>
          <w:tcPr>
            <w:tcW w:w="2880" w:type="dxa"/>
            <w:tcBorders>
              <w:top w:val="nil"/>
              <w:left w:val="nil"/>
              <w:bottom w:val="single" w:sz="4" w:space="0" w:color="auto"/>
              <w:right w:val="single" w:sz="4" w:space="0" w:color="auto"/>
            </w:tcBorders>
            <w:shd w:val="clear" w:color="auto" w:fill="auto"/>
            <w:noWrap/>
            <w:vAlign w:val="center"/>
            <w:hideMark/>
          </w:tcPr>
          <w:p w14:paraId="6242C86F"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Collection from sales of goat</w:t>
            </w:r>
          </w:p>
        </w:tc>
        <w:tc>
          <w:tcPr>
            <w:tcW w:w="1980" w:type="dxa"/>
            <w:tcBorders>
              <w:top w:val="nil"/>
              <w:left w:val="nil"/>
              <w:bottom w:val="single" w:sz="4" w:space="0" w:color="auto"/>
              <w:right w:val="single" w:sz="4" w:space="0" w:color="auto"/>
            </w:tcBorders>
            <w:shd w:val="clear" w:color="auto" w:fill="auto"/>
            <w:noWrap/>
            <w:vAlign w:val="center"/>
            <w:hideMark/>
          </w:tcPr>
          <w:p w14:paraId="37102284"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Gain on Sale of Biological Assets</w:t>
            </w:r>
          </w:p>
        </w:tc>
      </w:tr>
      <w:tr w:rsidR="00742B6D" w:rsidRPr="00824BC0" w14:paraId="3FE77639"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4F7CDA41"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SCUFAR</w:t>
            </w:r>
          </w:p>
        </w:tc>
        <w:tc>
          <w:tcPr>
            <w:tcW w:w="1710" w:type="dxa"/>
            <w:tcBorders>
              <w:top w:val="nil"/>
              <w:left w:val="nil"/>
              <w:bottom w:val="single" w:sz="4" w:space="0" w:color="auto"/>
              <w:right w:val="single" w:sz="4" w:space="0" w:color="auto"/>
            </w:tcBorders>
            <w:shd w:val="clear" w:color="auto" w:fill="auto"/>
            <w:noWrap/>
            <w:vAlign w:val="center"/>
            <w:hideMark/>
          </w:tcPr>
          <w:p w14:paraId="03CDDBF7"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549.00 </w:t>
            </w:r>
          </w:p>
        </w:tc>
        <w:tc>
          <w:tcPr>
            <w:tcW w:w="2880" w:type="dxa"/>
            <w:tcBorders>
              <w:top w:val="nil"/>
              <w:left w:val="nil"/>
              <w:bottom w:val="single" w:sz="4" w:space="0" w:color="auto"/>
              <w:right w:val="single" w:sz="4" w:space="0" w:color="auto"/>
            </w:tcBorders>
            <w:shd w:val="clear" w:color="auto" w:fill="auto"/>
            <w:noWrap/>
            <w:vAlign w:val="center"/>
            <w:hideMark/>
          </w:tcPr>
          <w:p w14:paraId="0B7C4456"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Collections from old accounts</w:t>
            </w:r>
          </w:p>
        </w:tc>
        <w:tc>
          <w:tcPr>
            <w:tcW w:w="1980" w:type="dxa"/>
            <w:tcBorders>
              <w:top w:val="nil"/>
              <w:left w:val="nil"/>
              <w:bottom w:val="single" w:sz="4" w:space="0" w:color="auto"/>
              <w:right w:val="single" w:sz="4" w:space="0" w:color="auto"/>
            </w:tcBorders>
            <w:shd w:val="clear" w:color="auto" w:fill="auto"/>
            <w:noWrap/>
            <w:vAlign w:val="center"/>
            <w:hideMark/>
          </w:tcPr>
          <w:p w14:paraId="39565429"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School Fees</w:t>
            </w:r>
          </w:p>
        </w:tc>
      </w:tr>
      <w:tr w:rsidR="00742B6D" w:rsidRPr="00824BC0" w14:paraId="67C467AC"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2DAF2D91" w14:textId="77777777" w:rsidR="00742B6D" w:rsidRPr="00824BC0" w:rsidRDefault="00742B6D" w:rsidP="00742B6D">
            <w:pPr>
              <w:spacing w:after="0" w:line="240" w:lineRule="auto"/>
              <w:rPr>
                <w:rFonts w:ascii="Times New Roman" w:hAnsi="Times New Roman" w:cs="Times New Roman"/>
                <w:i/>
                <w:iCs/>
                <w:color w:val="000000"/>
                <w:sz w:val="24"/>
                <w:szCs w:val="24"/>
                <w:lang w:eastAsia="en-PH"/>
              </w:rPr>
            </w:pPr>
            <w:r w:rsidRPr="00824BC0">
              <w:rPr>
                <w:rFonts w:ascii="Times New Roman" w:hAnsi="Times New Roman" w:cs="Times New Roman"/>
                <w:i/>
                <w:iCs/>
                <w:color w:val="000000"/>
                <w:sz w:val="24"/>
                <w:szCs w:val="24"/>
                <w:lang w:eastAsia="en-PH"/>
              </w:rPr>
              <w:t>Sub-total</w:t>
            </w:r>
          </w:p>
        </w:tc>
        <w:tc>
          <w:tcPr>
            <w:tcW w:w="1710" w:type="dxa"/>
            <w:tcBorders>
              <w:top w:val="nil"/>
              <w:left w:val="nil"/>
              <w:bottom w:val="single" w:sz="4" w:space="0" w:color="auto"/>
              <w:right w:val="single" w:sz="4" w:space="0" w:color="auto"/>
            </w:tcBorders>
            <w:shd w:val="clear" w:color="auto" w:fill="auto"/>
            <w:noWrap/>
            <w:vAlign w:val="center"/>
            <w:hideMark/>
          </w:tcPr>
          <w:p w14:paraId="3473EABE" w14:textId="77777777" w:rsidR="00742B6D" w:rsidRPr="00824BC0" w:rsidRDefault="00742B6D" w:rsidP="00742B6D">
            <w:pPr>
              <w:spacing w:after="0" w:line="240" w:lineRule="auto"/>
              <w:jc w:val="right"/>
              <w:rPr>
                <w:rFonts w:ascii="Times New Roman" w:hAnsi="Times New Roman" w:cs="Times New Roman"/>
                <w:i/>
                <w:iCs/>
                <w:color w:val="000000"/>
                <w:sz w:val="24"/>
                <w:szCs w:val="24"/>
                <w:lang w:eastAsia="en-PH"/>
              </w:rPr>
            </w:pPr>
            <w:r w:rsidRPr="00824BC0">
              <w:rPr>
                <w:rFonts w:ascii="Times New Roman" w:hAnsi="Times New Roman" w:cs="Times New Roman"/>
                <w:i/>
                <w:iCs/>
                <w:color w:val="000000"/>
                <w:sz w:val="24"/>
                <w:szCs w:val="24"/>
                <w:lang w:eastAsia="en-PH"/>
              </w:rPr>
              <w:t xml:space="preserve">3,193,778.75 </w:t>
            </w:r>
          </w:p>
        </w:tc>
        <w:tc>
          <w:tcPr>
            <w:tcW w:w="2880" w:type="dxa"/>
            <w:tcBorders>
              <w:top w:val="nil"/>
              <w:left w:val="nil"/>
              <w:bottom w:val="single" w:sz="4" w:space="0" w:color="auto"/>
              <w:right w:val="single" w:sz="4" w:space="0" w:color="auto"/>
            </w:tcBorders>
            <w:shd w:val="clear" w:color="auto" w:fill="auto"/>
            <w:noWrap/>
            <w:vAlign w:val="center"/>
            <w:hideMark/>
          </w:tcPr>
          <w:p w14:paraId="5E015769"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w:t>
            </w:r>
          </w:p>
        </w:tc>
        <w:tc>
          <w:tcPr>
            <w:tcW w:w="1980" w:type="dxa"/>
            <w:tcBorders>
              <w:top w:val="nil"/>
              <w:left w:val="nil"/>
              <w:bottom w:val="single" w:sz="4" w:space="0" w:color="auto"/>
              <w:right w:val="single" w:sz="4" w:space="0" w:color="auto"/>
            </w:tcBorders>
            <w:shd w:val="clear" w:color="auto" w:fill="auto"/>
            <w:noWrap/>
            <w:vAlign w:val="center"/>
            <w:hideMark/>
          </w:tcPr>
          <w:p w14:paraId="74832F8F"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w:t>
            </w:r>
          </w:p>
        </w:tc>
      </w:tr>
      <w:tr w:rsidR="00742B6D" w:rsidRPr="00824BC0" w14:paraId="0C0EFC8B" w14:textId="77777777" w:rsidTr="008017C3">
        <w:trPr>
          <w:trHeight w:val="300"/>
        </w:trPr>
        <w:tc>
          <w:tcPr>
            <w:tcW w:w="8635" w:type="dxa"/>
            <w:gridSpan w:val="4"/>
            <w:tcBorders>
              <w:top w:val="nil"/>
              <w:left w:val="single" w:sz="4" w:space="0" w:color="auto"/>
              <w:bottom w:val="single" w:sz="4" w:space="0" w:color="auto"/>
              <w:right w:val="single" w:sz="4" w:space="0" w:color="auto"/>
            </w:tcBorders>
            <w:shd w:val="clear" w:color="auto" w:fill="auto"/>
            <w:noWrap/>
            <w:vAlign w:val="center"/>
            <w:hideMark/>
          </w:tcPr>
          <w:p w14:paraId="74CA32E2"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i/>
                <w:iCs/>
                <w:color w:val="000000"/>
                <w:sz w:val="24"/>
                <w:szCs w:val="24"/>
                <w:lang w:eastAsia="en-PH"/>
              </w:rPr>
              <w:t>Income-Generating Projects (Fund 164)</w:t>
            </w:r>
          </w:p>
        </w:tc>
      </w:tr>
      <w:tr w:rsidR="00742B6D" w:rsidRPr="00824BC0" w14:paraId="2AF17384"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35FB1E76"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Table Egg</w:t>
            </w:r>
          </w:p>
        </w:tc>
        <w:tc>
          <w:tcPr>
            <w:tcW w:w="1710" w:type="dxa"/>
            <w:tcBorders>
              <w:top w:val="nil"/>
              <w:left w:val="nil"/>
              <w:bottom w:val="single" w:sz="4" w:space="0" w:color="auto"/>
              <w:right w:val="single" w:sz="4" w:space="0" w:color="auto"/>
            </w:tcBorders>
            <w:shd w:val="clear" w:color="auto" w:fill="auto"/>
            <w:noWrap/>
            <w:vAlign w:val="center"/>
            <w:hideMark/>
          </w:tcPr>
          <w:p w14:paraId="7DCC7705"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438,357.05 </w:t>
            </w:r>
          </w:p>
        </w:tc>
        <w:tc>
          <w:tcPr>
            <w:tcW w:w="2880" w:type="dxa"/>
            <w:tcBorders>
              <w:top w:val="nil"/>
              <w:left w:val="nil"/>
              <w:bottom w:val="single" w:sz="4" w:space="0" w:color="auto"/>
              <w:right w:val="single" w:sz="4" w:space="0" w:color="auto"/>
            </w:tcBorders>
            <w:shd w:val="clear" w:color="auto" w:fill="auto"/>
            <w:noWrap/>
            <w:vAlign w:val="center"/>
            <w:hideMark/>
          </w:tcPr>
          <w:p w14:paraId="27FEF913"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Sales from eggs</w:t>
            </w:r>
          </w:p>
        </w:tc>
        <w:tc>
          <w:tcPr>
            <w:tcW w:w="1980" w:type="dxa"/>
            <w:tcBorders>
              <w:top w:val="nil"/>
              <w:left w:val="nil"/>
              <w:bottom w:val="single" w:sz="4" w:space="0" w:color="auto"/>
              <w:right w:val="single" w:sz="4" w:space="0" w:color="auto"/>
            </w:tcBorders>
            <w:shd w:val="clear" w:color="auto" w:fill="auto"/>
            <w:noWrap/>
            <w:vAlign w:val="center"/>
            <w:hideMark/>
          </w:tcPr>
          <w:p w14:paraId="7BA603EC"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Gain on Sale of Agricultural Produce</w:t>
            </w:r>
          </w:p>
        </w:tc>
      </w:tr>
      <w:tr w:rsidR="00742B6D" w:rsidRPr="00824BC0" w14:paraId="7C4E7FF7"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0BE94F52"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Swine Production</w:t>
            </w:r>
          </w:p>
        </w:tc>
        <w:tc>
          <w:tcPr>
            <w:tcW w:w="1710" w:type="dxa"/>
            <w:tcBorders>
              <w:top w:val="nil"/>
              <w:left w:val="nil"/>
              <w:bottom w:val="single" w:sz="4" w:space="0" w:color="auto"/>
              <w:right w:val="single" w:sz="4" w:space="0" w:color="auto"/>
            </w:tcBorders>
            <w:shd w:val="clear" w:color="auto" w:fill="auto"/>
            <w:noWrap/>
            <w:vAlign w:val="center"/>
            <w:hideMark/>
          </w:tcPr>
          <w:p w14:paraId="1094B164"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376,300.40 </w:t>
            </w:r>
          </w:p>
        </w:tc>
        <w:tc>
          <w:tcPr>
            <w:tcW w:w="2880" w:type="dxa"/>
            <w:tcBorders>
              <w:top w:val="nil"/>
              <w:left w:val="nil"/>
              <w:bottom w:val="single" w:sz="4" w:space="0" w:color="auto"/>
              <w:right w:val="single" w:sz="4" w:space="0" w:color="auto"/>
            </w:tcBorders>
            <w:shd w:val="clear" w:color="auto" w:fill="auto"/>
            <w:noWrap/>
            <w:vAlign w:val="center"/>
            <w:hideMark/>
          </w:tcPr>
          <w:p w14:paraId="33661070"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Sales from swine</w:t>
            </w:r>
          </w:p>
        </w:tc>
        <w:tc>
          <w:tcPr>
            <w:tcW w:w="1980" w:type="dxa"/>
            <w:tcBorders>
              <w:top w:val="nil"/>
              <w:left w:val="nil"/>
              <w:bottom w:val="single" w:sz="4" w:space="0" w:color="auto"/>
              <w:right w:val="single" w:sz="4" w:space="0" w:color="auto"/>
            </w:tcBorders>
            <w:shd w:val="clear" w:color="auto" w:fill="auto"/>
            <w:noWrap/>
            <w:vAlign w:val="center"/>
            <w:hideMark/>
          </w:tcPr>
          <w:p w14:paraId="6D915A9F"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Gain on Sale of Biological Assets</w:t>
            </w:r>
          </w:p>
        </w:tc>
      </w:tr>
      <w:tr w:rsidR="00742B6D" w:rsidRPr="00824BC0" w14:paraId="4B499DBB"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6A9030D2"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Plant Nursery</w:t>
            </w:r>
          </w:p>
        </w:tc>
        <w:tc>
          <w:tcPr>
            <w:tcW w:w="1710" w:type="dxa"/>
            <w:tcBorders>
              <w:top w:val="nil"/>
              <w:left w:val="nil"/>
              <w:bottom w:val="single" w:sz="4" w:space="0" w:color="auto"/>
              <w:right w:val="single" w:sz="4" w:space="0" w:color="auto"/>
            </w:tcBorders>
            <w:shd w:val="clear" w:color="auto" w:fill="auto"/>
            <w:noWrap/>
            <w:vAlign w:val="center"/>
            <w:hideMark/>
          </w:tcPr>
          <w:p w14:paraId="38ADDF80"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26,300.00 </w:t>
            </w:r>
          </w:p>
        </w:tc>
        <w:tc>
          <w:tcPr>
            <w:tcW w:w="2880" w:type="dxa"/>
            <w:tcBorders>
              <w:top w:val="nil"/>
              <w:left w:val="nil"/>
              <w:bottom w:val="single" w:sz="4" w:space="0" w:color="auto"/>
              <w:right w:val="single" w:sz="4" w:space="0" w:color="auto"/>
            </w:tcBorders>
            <w:shd w:val="clear" w:color="auto" w:fill="auto"/>
            <w:noWrap/>
            <w:vAlign w:val="center"/>
            <w:hideMark/>
          </w:tcPr>
          <w:p w14:paraId="01640AF8"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Sales from ornamental plant</w:t>
            </w:r>
          </w:p>
        </w:tc>
        <w:tc>
          <w:tcPr>
            <w:tcW w:w="1980" w:type="dxa"/>
            <w:tcBorders>
              <w:top w:val="nil"/>
              <w:left w:val="nil"/>
              <w:bottom w:val="single" w:sz="4" w:space="0" w:color="auto"/>
              <w:right w:val="single" w:sz="4" w:space="0" w:color="auto"/>
            </w:tcBorders>
            <w:shd w:val="clear" w:color="auto" w:fill="auto"/>
            <w:noWrap/>
            <w:vAlign w:val="center"/>
            <w:hideMark/>
          </w:tcPr>
          <w:p w14:paraId="76057AEC"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Gain on Sale of Biological Assets</w:t>
            </w:r>
          </w:p>
        </w:tc>
      </w:tr>
      <w:tr w:rsidR="00742B6D" w:rsidRPr="00824BC0" w14:paraId="769822C0"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6234E6D3"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Palayamanan Model Farm</w:t>
            </w:r>
          </w:p>
        </w:tc>
        <w:tc>
          <w:tcPr>
            <w:tcW w:w="1710" w:type="dxa"/>
            <w:tcBorders>
              <w:top w:val="nil"/>
              <w:left w:val="nil"/>
              <w:bottom w:val="single" w:sz="4" w:space="0" w:color="auto"/>
              <w:right w:val="single" w:sz="4" w:space="0" w:color="auto"/>
            </w:tcBorders>
            <w:shd w:val="clear" w:color="auto" w:fill="auto"/>
            <w:noWrap/>
            <w:vAlign w:val="center"/>
            <w:hideMark/>
          </w:tcPr>
          <w:p w14:paraId="228808F7"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55,976.65 </w:t>
            </w:r>
          </w:p>
        </w:tc>
        <w:tc>
          <w:tcPr>
            <w:tcW w:w="2880" w:type="dxa"/>
            <w:tcBorders>
              <w:top w:val="nil"/>
              <w:left w:val="nil"/>
              <w:bottom w:val="single" w:sz="4" w:space="0" w:color="auto"/>
              <w:right w:val="single" w:sz="4" w:space="0" w:color="auto"/>
            </w:tcBorders>
            <w:shd w:val="clear" w:color="auto" w:fill="auto"/>
            <w:noWrap/>
            <w:vAlign w:val="center"/>
            <w:hideMark/>
          </w:tcPr>
          <w:p w14:paraId="57CCBD2D"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Sales from various vegetables and native pigs</w:t>
            </w:r>
          </w:p>
        </w:tc>
        <w:tc>
          <w:tcPr>
            <w:tcW w:w="1980" w:type="dxa"/>
            <w:tcBorders>
              <w:top w:val="nil"/>
              <w:left w:val="nil"/>
              <w:bottom w:val="single" w:sz="4" w:space="0" w:color="auto"/>
              <w:right w:val="single" w:sz="4" w:space="0" w:color="auto"/>
            </w:tcBorders>
            <w:shd w:val="clear" w:color="auto" w:fill="auto"/>
            <w:noWrap/>
            <w:vAlign w:val="center"/>
            <w:hideMark/>
          </w:tcPr>
          <w:p w14:paraId="64825232"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Gain on Sale of Agricultural Produce</w:t>
            </w:r>
          </w:p>
        </w:tc>
      </w:tr>
      <w:tr w:rsidR="00742B6D" w:rsidRPr="00824BC0" w14:paraId="12DE88BD"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457A10BE"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Scion Grove Orchard</w:t>
            </w:r>
          </w:p>
        </w:tc>
        <w:tc>
          <w:tcPr>
            <w:tcW w:w="1710" w:type="dxa"/>
            <w:tcBorders>
              <w:top w:val="nil"/>
              <w:left w:val="nil"/>
              <w:bottom w:val="single" w:sz="4" w:space="0" w:color="auto"/>
              <w:right w:val="single" w:sz="4" w:space="0" w:color="auto"/>
            </w:tcBorders>
            <w:shd w:val="clear" w:color="auto" w:fill="auto"/>
            <w:noWrap/>
            <w:vAlign w:val="center"/>
            <w:hideMark/>
          </w:tcPr>
          <w:p w14:paraId="76E11F90"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24,037.00 </w:t>
            </w:r>
          </w:p>
        </w:tc>
        <w:tc>
          <w:tcPr>
            <w:tcW w:w="2880" w:type="dxa"/>
            <w:tcBorders>
              <w:top w:val="nil"/>
              <w:left w:val="nil"/>
              <w:bottom w:val="single" w:sz="4" w:space="0" w:color="auto"/>
              <w:right w:val="single" w:sz="4" w:space="0" w:color="auto"/>
            </w:tcBorders>
            <w:shd w:val="clear" w:color="auto" w:fill="auto"/>
            <w:noWrap/>
            <w:vAlign w:val="center"/>
            <w:hideMark/>
          </w:tcPr>
          <w:p w14:paraId="3584CFA6"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Sales from mango fruits</w:t>
            </w:r>
          </w:p>
        </w:tc>
        <w:tc>
          <w:tcPr>
            <w:tcW w:w="1980" w:type="dxa"/>
            <w:tcBorders>
              <w:top w:val="nil"/>
              <w:left w:val="nil"/>
              <w:bottom w:val="single" w:sz="4" w:space="0" w:color="auto"/>
              <w:right w:val="single" w:sz="4" w:space="0" w:color="auto"/>
            </w:tcBorders>
            <w:shd w:val="clear" w:color="auto" w:fill="auto"/>
            <w:noWrap/>
            <w:vAlign w:val="center"/>
            <w:hideMark/>
          </w:tcPr>
          <w:p w14:paraId="431EE25B"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Gain on Sale of Agricultural Produce</w:t>
            </w:r>
          </w:p>
        </w:tc>
      </w:tr>
      <w:tr w:rsidR="00742B6D" w:rsidRPr="00824BC0" w14:paraId="4F132A9E"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7E307FAA"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Broiler</w:t>
            </w:r>
          </w:p>
        </w:tc>
        <w:tc>
          <w:tcPr>
            <w:tcW w:w="1710" w:type="dxa"/>
            <w:tcBorders>
              <w:top w:val="nil"/>
              <w:left w:val="nil"/>
              <w:bottom w:val="single" w:sz="4" w:space="0" w:color="auto"/>
              <w:right w:val="single" w:sz="4" w:space="0" w:color="auto"/>
            </w:tcBorders>
            <w:shd w:val="clear" w:color="auto" w:fill="auto"/>
            <w:noWrap/>
            <w:vAlign w:val="center"/>
            <w:hideMark/>
          </w:tcPr>
          <w:p w14:paraId="259EA820"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380,804.49 </w:t>
            </w:r>
          </w:p>
        </w:tc>
        <w:tc>
          <w:tcPr>
            <w:tcW w:w="2880" w:type="dxa"/>
            <w:tcBorders>
              <w:top w:val="nil"/>
              <w:left w:val="nil"/>
              <w:bottom w:val="single" w:sz="4" w:space="0" w:color="auto"/>
              <w:right w:val="single" w:sz="4" w:space="0" w:color="auto"/>
            </w:tcBorders>
            <w:shd w:val="clear" w:color="auto" w:fill="auto"/>
            <w:noWrap/>
            <w:vAlign w:val="center"/>
            <w:hideMark/>
          </w:tcPr>
          <w:p w14:paraId="52A4A7C5"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Sales from broiler</w:t>
            </w:r>
          </w:p>
        </w:tc>
        <w:tc>
          <w:tcPr>
            <w:tcW w:w="1980" w:type="dxa"/>
            <w:tcBorders>
              <w:top w:val="nil"/>
              <w:left w:val="nil"/>
              <w:bottom w:val="single" w:sz="4" w:space="0" w:color="auto"/>
              <w:right w:val="single" w:sz="4" w:space="0" w:color="auto"/>
            </w:tcBorders>
            <w:shd w:val="clear" w:color="auto" w:fill="auto"/>
            <w:noWrap/>
            <w:vAlign w:val="center"/>
            <w:hideMark/>
          </w:tcPr>
          <w:p w14:paraId="11C509BC"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Gain on Sale of Biological Assets</w:t>
            </w:r>
          </w:p>
        </w:tc>
      </w:tr>
      <w:tr w:rsidR="00742B6D" w:rsidRPr="00824BC0" w14:paraId="74D88AD3"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2D56C784"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Food Processing</w:t>
            </w:r>
          </w:p>
        </w:tc>
        <w:tc>
          <w:tcPr>
            <w:tcW w:w="1710" w:type="dxa"/>
            <w:tcBorders>
              <w:top w:val="nil"/>
              <w:left w:val="nil"/>
              <w:bottom w:val="single" w:sz="4" w:space="0" w:color="auto"/>
              <w:right w:val="single" w:sz="4" w:space="0" w:color="auto"/>
            </w:tcBorders>
            <w:shd w:val="clear" w:color="auto" w:fill="auto"/>
            <w:noWrap/>
            <w:vAlign w:val="center"/>
            <w:hideMark/>
          </w:tcPr>
          <w:p w14:paraId="7530DDCE"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40,873.20 </w:t>
            </w:r>
          </w:p>
        </w:tc>
        <w:tc>
          <w:tcPr>
            <w:tcW w:w="2880" w:type="dxa"/>
            <w:tcBorders>
              <w:top w:val="nil"/>
              <w:left w:val="nil"/>
              <w:bottom w:val="single" w:sz="4" w:space="0" w:color="auto"/>
              <w:right w:val="single" w:sz="4" w:space="0" w:color="auto"/>
            </w:tcBorders>
            <w:shd w:val="clear" w:color="auto" w:fill="auto"/>
            <w:noWrap/>
            <w:vAlign w:val="center"/>
            <w:hideMark/>
          </w:tcPr>
          <w:p w14:paraId="6EBA1348"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Sales from process foods</w:t>
            </w:r>
          </w:p>
        </w:tc>
        <w:tc>
          <w:tcPr>
            <w:tcW w:w="1980" w:type="dxa"/>
            <w:tcBorders>
              <w:top w:val="nil"/>
              <w:left w:val="nil"/>
              <w:bottom w:val="single" w:sz="4" w:space="0" w:color="auto"/>
              <w:right w:val="single" w:sz="4" w:space="0" w:color="auto"/>
            </w:tcBorders>
            <w:shd w:val="clear" w:color="auto" w:fill="auto"/>
            <w:noWrap/>
            <w:vAlign w:val="center"/>
            <w:hideMark/>
          </w:tcPr>
          <w:p w14:paraId="73829D46"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Sales Revenue</w:t>
            </w:r>
          </w:p>
        </w:tc>
      </w:tr>
      <w:tr w:rsidR="00742B6D" w:rsidRPr="00824BC0" w14:paraId="11175B64"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3252BF5B"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lastRenderedPageBreak/>
              <w:t>Photocopier</w:t>
            </w:r>
          </w:p>
        </w:tc>
        <w:tc>
          <w:tcPr>
            <w:tcW w:w="1710" w:type="dxa"/>
            <w:tcBorders>
              <w:top w:val="nil"/>
              <w:left w:val="nil"/>
              <w:bottom w:val="single" w:sz="4" w:space="0" w:color="auto"/>
              <w:right w:val="single" w:sz="4" w:space="0" w:color="auto"/>
            </w:tcBorders>
            <w:shd w:val="clear" w:color="auto" w:fill="auto"/>
            <w:noWrap/>
            <w:vAlign w:val="center"/>
            <w:hideMark/>
          </w:tcPr>
          <w:p w14:paraId="2B83E5E5"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50,888.50 </w:t>
            </w:r>
          </w:p>
        </w:tc>
        <w:tc>
          <w:tcPr>
            <w:tcW w:w="2880" w:type="dxa"/>
            <w:tcBorders>
              <w:top w:val="nil"/>
              <w:left w:val="nil"/>
              <w:bottom w:val="single" w:sz="4" w:space="0" w:color="auto"/>
              <w:right w:val="single" w:sz="4" w:space="0" w:color="auto"/>
            </w:tcBorders>
            <w:shd w:val="clear" w:color="auto" w:fill="auto"/>
            <w:noWrap/>
            <w:vAlign w:val="center"/>
            <w:hideMark/>
          </w:tcPr>
          <w:p w14:paraId="7E1741E1"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Sales from photocopying services at old canteen</w:t>
            </w:r>
          </w:p>
        </w:tc>
        <w:tc>
          <w:tcPr>
            <w:tcW w:w="1980" w:type="dxa"/>
            <w:tcBorders>
              <w:top w:val="nil"/>
              <w:left w:val="nil"/>
              <w:bottom w:val="single" w:sz="4" w:space="0" w:color="auto"/>
              <w:right w:val="single" w:sz="4" w:space="0" w:color="auto"/>
            </w:tcBorders>
            <w:shd w:val="clear" w:color="auto" w:fill="auto"/>
            <w:noWrap/>
            <w:vAlign w:val="center"/>
            <w:hideMark/>
          </w:tcPr>
          <w:p w14:paraId="5D473DB6"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Other Business Income</w:t>
            </w:r>
          </w:p>
        </w:tc>
      </w:tr>
      <w:tr w:rsidR="00742B6D" w:rsidRPr="00824BC0" w14:paraId="2748B6CF"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4819D0DD"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Green House</w:t>
            </w:r>
          </w:p>
        </w:tc>
        <w:tc>
          <w:tcPr>
            <w:tcW w:w="1710" w:type="dxa"/>
            <w:tcBorders>
              <w:top w:val="nil"/>
              <w:left w:val="nil"/>
              <w:bottom w:val="single" w:sz="4" w:space="0" w:color="auto"/>
              <w:right w:val="single" w:sz="4" w:space="0" w:color="auto"/>
            </w:tcBorders>
            <w:shd w:val="clear" w:color="auto" w:fill="auto"/>
            <w:noWrap/>
            <w:vAlign w:val="center"/>
            <w:hideMark/>
          </w:tcPr>
          <w:p w14:paraId="216E7758"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31,180.90 </w:t>
            </w:r>
          </w:p>
        </w:tc>
        <w:tc>
          <w:tcPr>
            <w:tcW w:w="2880" w:type="dxa"/>
            <w:tcBorders>
              <w:top w:val="nil"/>
              <w:left w:val="nil"/>
              <w:bottom w:val="single" w:sz="4" w:space="0" w:color="auto"/>
              <w:right w:val="single" w:sz="4" w:space="0" w:color="auto"/>
            </w:tcBorders>
            <w:shd w:val="clear" w:color="auto" w:fill="auto"/>
            <w:noWrap/>
            <w:vAlign w:val="center"/>
            <w:hideMark/>
          </w:tcPr>
          <w:p w14:paraId="25E52245"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Sales from various vegetables </w:t>
            </w:r>
          </w:p>
        </w:tc>
        <w:tc>
          <w:tcPr>
            <w:tcW w:w="1980" w:type="dxa"/>
            <w:tcBorders>
              <w:top w:val="nil"/>
              <w:left w:val="nil"/>
              <w:bottom w:val="single" w:sz="4" w:space="0" w:color="auto"/>
              <w:right w:val="single" w:sz="4" w:space="0" w:color="auto"/>
            </w:tcBorders>
            <w:shd w:val="clear" w:color="auto" w:fill="auto"/>
            <w:noWrap/>
            <w:vAlign w:val="center"/>
            <w:hideMark/>
          </w:tcPr>
          <w:p w14:paraId="6260667D"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Gain on Sale of Agricultural Produce</w:t>
            </w:r>
          </w:p>
        </w:tc>
      </w:tr>
      <w:tr w:rsidR="00742B6D" w:rsidRPr="00824BC0" w14:paraId="19404DD7"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2B99DE2B"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Goat Project</w:t>
            </w:r>
          </w:p>
        </w:tc>
        <w:tc>
          <w:tcPr>
            <w:tcW w:w="1710" w:type="dxa"/>
            <w:tcBorders>
              <w:top w:val="nil"/>
              <w:left w:val="nil"/>
              <w:bottom w:val="single" w:sz="4" w:space="0" w:color="auto"/>
              <w:right w:val="single" w:sz="4" w:space="0" w:color="auto"/>
            </w:tcBorders>
            <w:shd w:val="clear" w:color="auto" w:fill="auto"/>
            <w:noWrap/>
            <w:vAlign w:val="center"/>
            <w:hideMark/>
          </w:tcPr>
          <w:p w14:paraId="48ECEF96"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30,982.00 </w:t>
            </w:r>
          </w:p>
        </w:tc>
        <w:tc>
          <w:tcPr>
            <w:tcW w:w="2880" w:type="dxa"/>
            <w:tcBorders>
              <w:top w:val="nil"/>
              <w:left w:val="nil"/>
              <w:bottom w:val="single" w:sz="4" w:space="0" w:color="auto"/>
              <w:right w:val="single" w:sz="4" w:space="0" w:color="auto"/>
            </w:tcBorders>
            <w:shd w:val="clear" w:color="auto" w:fill="auto"/>
            <w:noWrap/>
            <w:vAlign w:val="center"/>
            <w:hideMark/>
          </w:tcPr>
          <w:p w14:paraId="44B030C6"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Sales from goat</w:t>
            </w:r>
          </w:p>
        </w:tc>
        <w:tc>
          <w:tcPr>
            <w:tcW w:w="1980" w:type="dxa"/>
            <w:tcBorders>
              <w:top w:val="nil"/>
              <w:left w:val="nil"/>
              <w:bottom w:val="single" w:sz="4" w:space="0" w:color="auto"/>
              <w:right w:val="single" w:sz="4" w:space="0" w:color="auto"/>
            </w:tcBorders>
            <w:shd w:val="clear" w:color="auto" w:fill="auto"/>
            <w:noWrap/>
            <w:vAlign w:val="center"/>
            <w:hideMark/>
          </w:tcPr>
          <w:p w14:paraId="364BE942"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Gain on Sale of Biological Assets</w:t>
            </w:r>
          </w:p>
        </w:tc>
      </w:tr>
      <w:tr w:rsidR="00742B6D" w:rsidRPr="00824BC0" w14:paraId="11BDBEB1"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52F6E1CF"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Hostel Catering</w:t>
            </w:r>
          </w:p>
        </w:tc>
        <w:tc>
          <w:tcPr>
            <w:tcW w:w="1710" w:type="dxa"/>
            <w:tcBorders>
              <w:top w:val="nil"/>
              <w:left w:val="nil"/>
              <w:bottom w:val="single" w:sz="4" w:space="0" w:color="auto"/>
              <w:right w:val="single" w:sz="4" w:space="0" w:color="auto"/>
            </w:tcBorders>
            <w:shd w:val="clear" w:color="auto" w:fill="auto"/>
            <w:noWrap/>
            <w:vAlign w:val="center"/>
            <w:hideMark/>
          </w:tcPr>
          <w:p w14:paraId="64419E95"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47,140.00 </w:t>
            </w:r>
          </w:p>
        </w:tc>
        <w:tc>
          <w:tcPr>
            <w:tcW w:w="2880" w:type="dxa"/>
            <w:tcBorders>
              <w:top w:val="nil"/>
              <w:left w:val="nil"/>
              <w:bottom w:val="single" w:sz="4" w:space="0" w:color="auto"/>
              <w:right w:val="single" w:sz="4" w:space="0" w:color="auto"/>
            </w:tcBorders>
            <w:shd w:val="clear" w:color="auto" w:fill="auto"/>
            <w:noWrap/>
            <w:vAlign w:val="center"/>
            <w:hideMark/>
          </w:tcPr>
          <w:p w14:paraId="446DB8E8"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Sales from catering services</w:t>
            </w:r>
          </w:p>
        </w:tc>
        <w:tc>
          <w:tcPr>
            <w:tcW w:w="1980" w:type="dxa"/>
            <w:tcBorders>
              <w:top w:val="nil"/>
              <w:left w:val="nil"/>
              <w:bottom w:val="single" w:sz="4" w:space="0" w:color="auto"/>
              <w:right w:val="single" w:sz="4" w:space="0" w:color="auto"/>
            </w:tcBorders>
            <w:shd w:val="clear" w:color="auto" w:fill="auto"/>
            <w:noWrap/>
            <w:vAlign w:val="center"/>
            <w:hideMark/>
          </w:tcPr>
          <w:p w14:paraId="405B8302"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Other Business Income</w:t>
            </w:r>
          </w:p>
        </w:tc>
      </w:tr>
      <w:tr w:rsidR="00742B6D" w:rsidRPr="00824BC0" w14:paraId="08C6DBD8"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37495369"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Cattle Production</w:t>
            </w:r>
          </w:p>
        </w:tc>
        <w:tc>
          <w:tcPr>
            <w:tcW w:w="1710" w:type="dxa"/>
            <w:tcBorders>
              <w:top w:val="nil"/>
              <w:left w:val="nil"/>
              <w:bottom w:val="single" w:sz="4" w:space="0" w:color="auto"/>
              <w:right w:val="single" w:sz="4" w:space="0" w:color="auto"/>
            </w:tcBorders>
            <w:shd w:val="clear" w:color="auto" w:fill="auto"/>
            <w:noWrap/>
            <w:vAlign w:val="center"/>
            <w:hideMark/>
          </w:tcPr>
          <w:p w14:paraId="1311A516" w14:textId="77777777" w:rsidR="00742B6D" w:rsidRPr="00824BC0" w:rsidRDefault="00742B6D" w:rsidP="00742B6D">
            <w:pPr>
              <w:spacing w:after="0" w:line="240" w:lineRule="auto"/>
              <w:jc w:val="right"/>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xml:space="preserve">24,550.00 </w:t>
            </w:r>
          </w:p>
        </w:tc>
        <w:tc>
          <w:tcPr>
            <w:tcW w:w="2880" w:type="dxa"/>
            <w:tcBorders>
              <w:top w:val="nil"/>
              <w:left w:val="nil"/>
              <w:bottom w:val="single" w:sz="4" w:space="0" w:color="auto"/>
              <w:right w:val="single" w:sz="4" w:space="0" w:color="auto"/>
            </w:tcBorders>
            <w:shd w:val="clear" w:color="auto" w:fill="auto"/>
            <w:noWrap/>
            <w:vAlign w:val="center"/>
            <w:hideMark/>
          </w:tcPr>
          <w:p w14:paraId="26F6EA7A" w14:textId="77777777" w:rsidR="00742B6D" w:rsidRPr="00824BC0" w:rsidRDefault="00742B6D" w:rsidP="00742B6D">
            <w:pPr>
              <w:spacing w:after="0" w:line="240" w:lineRule="auto"/>
              <w:jc w:val="both"/>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Sales from Cattle</w:t>
            </w:r>
          </w:p>
        </w:tc>
        <w:tc>
          <w:tcPr>
            <w:tcW w:w="1980" w:type="dxa"/>
            <w:tcBorders>
              <w:top w:val="nil"/>
              <w:left w:val="nil"/>
              <w:bottom w:val="single" w:sz="4" w:space="0" w:color="auto"/>
              <w:right w:val="single" w:sz="4" w:space="0" w:color="auto"/>
            </w:tcBorders>
            <w:shd w:val="clear" w:color="auto" w:fill="auto"/>
            <w:noWrap/>
            <w:vAlign w:val="center"/>
            <w:hideMark/>
          </w:tcPr>
          <w:p w14:paraId="698E079C"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Gain on Sale of Biological Assets</w:t>
            </w:r>
          </w:p>
        </w:tc>
      </w:tr>
      <w:tr w:rsidR="00742B6D" w:rsidRPr="00824BC0" w14:paraId="3F80E567"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4FEC9DB9" w14:textId="77777777" w:rsidR="00742B6D" w:rsidRPr="00824BC0" w:rsidRDefault="00742B6D" w:rsidP="00742B6D">
            <w:pPr>
              <w:spacing w:after="0" w:line="240" w:lineRule="auto"/>
              <w:rPr>
                <w:rFonts w:ascii="Times New Roman" w:hAnsi="Times New Roman" w:cs="Times New Roman"/>
                <w:i/>
                <w:iCs/>
                <w:color w:val="000000"/>
                <w:sz w:val="24"/>
                <w:szCs w:val="24"/>
                <w:lang w:eastAsia="en-PH"/>
              </w:rPr>
            </w:pPr>
            <w:r w:rsidRPr="00824BC0">
              <w:rPr>
                <w:rFonts w:ascii="Times New Roman" w:hAnsi="Times New Roman" w:cs="Times New Roman"/>
                <w:i/>
                <w:iCs/>
                <w:color w:val="000000"/>
                <w:sz w:val="24"/>
                <w:szCs w:val="24"/>
                <w:lang w:eastAsia="en-PH"/>
              </w:rPr>
              <w:t>Total</w:t>
            </w:r>
          </w:p>
        </w:tc>
        <w:tc>
          <w:tcPr>
            <w:tcW w:w="1710" w:type="dxa"/>
            <w:tcBorders>
              <w:top w:val="nil"/>
              <w:left w:val="nil"/>
              <w:bottom w:val="single" w:sz="4" w:space="0" w:color="auto"/>
              <w:right w:val="single" w:sz="4" w:space="0" w:color="auto"/>
            </w:tcBorders>
            <w:shd w:val="clear" w:color="auto" w:fill="auto"/>
            <w:noWrap/>
            <w:vAlign w:val="center"/>
            <w:hideMark/>
          </w:tcPr>
          <w:p w14:paraId="436B9B26" w14:textId="77777777" w:rsidR="00742B6D" w:rsidRPr="00824BC0" w:rsidRDefault="00742B6D" w:rsidP="00742B6D">
            <w:pPr>
              <w:spacing w:after="0" w:line="240" w:lineRule="auto"/>
              <w:jc w:val="right"/>
              <w:rPr>
                <w:rFonts w:ascii="Times New Roman" w:hAnsi="Times New Roman" w:cs="Times New Roman"/>
                <w:i/>
                <w:iCs/>
                <w:color w:val="000000"/>
                <w:sz w:val="24"/>
                <w:szCs w:val="24"/>
                <w:lang w:eastAsia="en-PH"/>
              </w:rPr>
            </w:pPr>
            <w:r w:rsidRPr="00824BC0">
              <w:rPr>
                <w:rFonts w:ascii="Times New Roman" w:hAnsi="Times New Roman" w:cs="Times New Roman"/>
                <w:i/>
                <w:iCs/>
                <w:color w:val="000000"/>
                <w:sz w:val="24"/>
                <w:szCs w:val="24"/>
                <w:lang w:eastAsia="en-PH"/>
              </w:rPr>
              <w:t xml:space="preserve">1,527,390.19 </w:t>
            </w:r>
          </w:p>
        </w:tc>
        <w:tc>
          <w:tcPr>
            <w:tcW w:w="2880" w:type="dxa"/>
            <w:tcBorders>
              <w:top w:val="nil"/>
              <w:left w:val="nil"/>
              <w:bottom w:val="single" w:sz="4" w:space="0" w:color="auto"/>
              <w:right w:val="single" w:sz="4" w:space="0" w:color="auto"/>
            </w:tcBorders>
            <w:shd w:val="clear" w:color="auto" w:fill="auto"/>
            <w:noWrap/>
            <w:vAlign w:val="center"/>
            <w:hideMark/>
          </w:tcPr>
          <w:p w14:paraId="122BCB96"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w:t>
            </w:r>
          </w:p>
        </w:tc>
        <w:tc>
          <w:tcPr>
            <w:tcW w:w="1980" w:type="dxa"/>
            <w:tcBorders>
              <w:top w:val="nil"/>
              <w:left w:val="nil"/>
              <w:bottom w:val="single" w:sz="4" w:space="0" w:color="auto"/>
              <w:right w:val="single" w:sz="4" w:space="0" w:color="auto"/>
            </w:tcBorders>
            <w:shd w:val="clear" w:color="auto" w:fill="auto"/>
            <w:noWrap/>
            <w:vAlign w:val="center"/>
            <w:hideMark/>
          </w:tcPr>
          <w:p w14:paraId="352DF79C" w14:textId="77777777" w:rsidR="00742B6D" w:rsidRPr="00824BC0" w:rsidRDefault="00742B6D" w:rsidP="00742B6D">
            <w:pPr>
              <w:spacing w:after="0" w:line="240" w:lineRule="auto"/>
              <w:rPr>
                <w:rFonts w:ascii="Times New Roman" w:hAnsi="Times New Roman" w:cs="Times New Roman"/>
                <w:color w:val="000000"/>
                <w:sz w:val="24"/>
                <w:szCs w:val="24"/>
                <w:lang w:eastAsia="en-PH"/>
              </w:rPr>
            </w:pPr>
            <w:r w:rsidRPr="00824BC0">
              <w:rPr>
                <w:rFonts w:ascii="Times New Roman" w:hAnsi="Times New Roman" w:cs="Times New Roman"/>
                <w:color w:val="000000"/>
                <w:sz w:val="24"/>
                <w:szCs w:val="24"/>
                <w:lang w:eastAsia="en-PH"/>
              </w:rPr>
              <w:t> </w:t>
            </w:r>
          </w:p>
        </w:tc>
      </w:tr>
      <w:tr w:rsidR="00742B6D" w:rsidRPr="00824BC0" w14:paraId="30334266" w14:textId="77777777" w:rsidTr="008017C3">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4EED7011" w14:textId="77777777" w:rsidR="00742B6D" w:rsidRPr="00824BC0" w:rsidRDefault="00742B6D" w:rsidP="00742B6D">
            <w:pPr>
              <w:spacing w:after="0" w:line="240" w:lineRule="auto"/>
              <w:rPr>
                <w:rFonts w:ascii="Times New Roman" w:hAnsi="Times New Roman" w:cs="Times New Roman"/>
                <w:b/>
                <w:bCs/>
                <w:color w:val="000000"/>
                <w:sz w:val="24"/>
                <w:szCs w:val="24"/>
                <w:lang w:eastAsia="en-PH"/>
              </w:rPr>
            </w:pPr>
            <w:r w:rsidRPr="00824BC0">
              <w:rPr>
                <w:rFonts w:ascii="Times New Roman" w:hAnsi="Times New Roman" w:cs="Times New Roman"/>
                <w:b/>
                <w:bCs/>
                <w:color w:val="000000"/>
                <w:sz w:val="24"/>
                <w:szCs w:val="24"/>
                <w:lang w:eastAsia="en-PH"/>
              </w:rPr>
              <w:t>GRAND TOTAL</w:t>
            </w:r>
          </w:p>
        </w:tc>
        <w:tc>
          <w:tcPr>
            <w:tcW w:w="1710" w:type="dxa"/>
            <w:tcBorders>
              <w:top w:val="nil"/>
              <w:left w:val="nil"/>
              <w:bottom w:val="single" w:sz="4" w:space="0" w:color="auto"/>
              <w:right w:val="single" w:sz="4" w:space="0" w:color="auto"/>
            </w:tcBorders>
            <w:shd w:val="clear" w:color="auto" w:fill="auto"/>
            <w:noWrap/>
            <w:vAlign w:val="center"/>
            <w:hideMark/>
          </w:tcPr>
          <w:p w14:paraId="05F1193E" w14:textId="77777777" w:rsidR="00742B6D" w:rsidRPr="00824BC0" w:rsidRDefault="00742B6D" w:rsidP="00742B6D">
            <w:pPr>
              <w:spacing w:after="0" w:line="240" w:lineRule="auto"/>
              <w:jc w:val="right"/>
              <w:rPr>
                <w:rFonts w:ascii="Times New Roman" w:hAnsi="Times New Roman" w:cs="Times New Roman"/>
                <w:b/>
                <w:bCs/>
                <w:color w:val="000000"/>
                <w:sz w:val="24"/>
                <w:szCs w:val="24"/>
                <w:lang w:eastAsia="en-PH"/>
              </w:rPr>
            </w:pPr>
            <w:r w:rsidRPr="00824BC0">
              <w:rPr>
                <w:rFonts w:ascii="Times New Roman" w:hAnsi="Times New Roman" w:cs="Times New Roman"/>
                <w:b/>
                <w:bCs/>
                <w:color w:val="000000"/>
                <w:sz w:val="24"/>
                <w:szCs w:val="24"/>
                <w:lang w:eastAsia="en-PH"/>
              </w:rPr>
              <w:t xml:space="preserve">₱ 8,805,377.10 </w:t>
            </w:r>
          </w:p>
        </w:tc>
        <w:tc>
          <w:tcPr>
            <w:tcW w:w="2880" w:type="dxa"/>
            <w:tcBorders>
              <w:top w:val="nil"/>
              <w:left w:val="nil"/>
              <w:bottom w:val="single" w:sz="4" w:space="0" w:color="auto"/>
              <w:right w:val="single" w:sz="4" w:space="0" w:color="auto"/>
            </w:tcBorders>
            <w:shd w:val="clear" w:color="auto" w:fill="auto"/>
            <w:noWrap/>
            <w:vAlign w:val="center"/>
            <w:hideMark/>
          </w:tcPr>
          <w:p w14:paraId="0D620391" w14:textId="77777777" w:rsidR="00742B6D" w:rsidRPr="00824BC0" w:rsidRDefault="00742B6D" w:rsidP="00742B6D">
            <w:pPr>
              <w:spacing w:after="0" w:line="240" w:lineRule="auto"/>
              <w:rPr>
                <w:rFonts w:ascii="Times New Roman" w:hAnsi="Times New Roman" w:cs="Times New Roman"/>
                <w:b/>
                <w:bCs/>
                <w:color w:val="000000"/>
                <w:sz w:val="24"/>
                <w:szCs w:val="24"/>
                <w:lang w:eastAsia="en-PH"/>
              </w:rPr>
            </w:pPr>
            <w:r w:rsidRPr="00824BC0">
              <w:rPr>
                <w:rFonts w:ascii="Times New Roman" w:hAnsi="Times New Roman" w:cs="Times New Roman"/>
                <w:b/>
                <w:bCs/>
                <w:color w:val="000000"/>
                <w:sz w:val="24"/>
                <w:szCs w:val="24"/>
                <w:lang w:eastAsia="en-PH"/>
              </w:rPr>
              <w:t> </w:t>
            </w:r>
          </w:p>
        </w:tc>
        <w:tc>
          <w:tcPr>
            <w:tcW w:w="1980" w:type="dxa"/>
            <w:tcBorders>
              <w:top w:val="nil"/>
              <w:left w:val="nil"/>
              <w:bottom w:val="single" w:sz="4" w:space="0" w:color="auto"/>
              <w:right w:val="single" w:sz="4" w:space="0" w:color="auto"/>
            </w:tcBorders>
            <w:shd w:val="clear" w:color="auto" w:fill="auto"/>
            <w:noWrap/>
            <w:vAlign w:val="center"/>
            <w:hideMark/>
          </w:tcPr>
          <w:p w14:paraId="042F9351" w14:textId="77777777" w:rsidR="00742B6D" w:rsidRPr="00824BC0" w:rsidRDefault="00742B6D" w:rsidP="00742B6D">
            <w:pPr>
              <w:spacing w:after="0" w:line="240" w:lineRule="auto"/>
              <w:rPr>
                <w:rFonts w:ascii="Times New Roman" w:hAnsi="Times New Roman" w:cs="Times New Roman"/>
                <w:b/>
                <w:bCs/>
                <w:color w:val="000000"/>
                <w:sz w:val="24"/>
                <w:szCs w:val="24"/>
                <w:lang w:eastAsia="en-PH"/>
              </w:rPr>
            </w:pPr>
            <w:r w:rsidRPr="00824BC0">
              <w:rPr>
                <w:rFonts w:ascii="Times New Roman" w:hAnsi="Times New Roman" w:cs="Times New Roman"/>
                <w:b/>
                <w:bCs/>
                <w:color w:val="000000"/>
                <w:sz w:val="24"/>
                <w:szCs w:val="24"/>
                <w:lang w:eastAsia="en-PH"/>
              </w:rPr>
              <w:t> </w:t>
            </w:r>
          </w:p>
        </w:tc>
      </w:tr>
    </w:tbl>
    <w:p w14:paraId="398710D5" w14:textId="77777777" w:rsidR="00742B6D" w:rsidRPr="00824BC0" w:rsidRDefault="00742B6D" w:rsidP="00742B6D">
      <w:pPr>
        <w:spacing w:after="0" w:line="240" w:lineRule="auto"/>
        <w:jc w:val="both"/>
        <w:rPr>
          <w:rFonts w:ascii="Times New Roman" w:hAnsi="Times New Roman" w:cs="Times New Roman"/>
          <w:sz w:val="24"/>
          <w:szCs w:val="24"/>
        </w:rPr>
      </w:pPr>
    </w:p>
    <w:p w14:paraId="0D9D83B0" w14:textId="7CEA9AA0" w:rsidR="00742B6D" w:rsidRPr="00824BC0" w:rsidRDefault="00742B6D" w:rsidP="008017C3">
      <w:pPr>
        <w:pStyle w:val="ListParagraph"/>
        <w:numPr>
          <w:ilvl w:val="1"/>
          <w:numId w:val="5"/>
        </w:numPr>
        <w:ind w:left="0" w:firstLine="0"/>
        <w:jc w:val="both"/>
        <w:rPr>
          <w:szCs w:val="24"/>
        </w:rPr>
      </w:pPr>
      <w:r w:rsidRPr="00824BC0">
        <w:rPr>
          <w:szCs w:val="24"/>
        </w:rPr>
        <w:t>The same audit observation has been noted in previous Annual Audit Reports (AARs) and Audit Observation Memoranda (AOMs).  However, the errors noted above remained unadjusted as of December 31, 2021.</w:t>
      </w:r>
    </w:p>
    <w:p w14:paraId="7E24436D" w14:textId="77777777" w:rsidR="00742B6D" w:rsidRPr="00824BC0" w:rsidRDefault="00742B6D" w:rsidP="00742B6D">
      <w:pPr>
        <w:spacing w:after="0" w:line="240" w:lineRule="auto"/>
        <w:jc w:val="both"/>
        <w:rPr>
          <w:rFonts w:ascii="Times New Roman" w:hAnsi="Times New Roman" w:cs="Times New Roman"/>
          <w:b/>
          <w:bCs/>
          <w:sz w:val="24"/>
          <w:szCs w:val="24"/>
        </w:rPr>
      </w:pPr>
      <w:r w:rsidRPr="00824BC0">
        <w:rPr>
          <w:rFonts w:ascii="Times New Roman" w:hAnsi="Times New Roman" w:cs="Times New Roman"/>
          <w:b/>
          <w:bCs/>
          <w:sz w:val="24"/>
          <w:szCs w:val="24"/>
        </w:rPr>
        <w:tab/>
      </w:r>
    </w:p>
    <w:p w14:paraId="503B9652" w14:textId="77777777" w:rsidR="00742B6D" w:rsidRPr="00824BC0" w:rsidRDefault="00742B6D" w:rsidP="008017C3">
      <w:pPr>
        <w:pStyle w:val="ListParagraph"/>
        <w:numPr>
          <w:ilvl w:val="1"/>
          <w:numId w:val="5"/>
        </w:numPr>
        <w:ind w:left="0" w:firstLine="0"/>
        <w:jc w:val="both"/>
        <w:rPr>
          <w:szCs w:val="24"/>
        </w:rPr>
      </w:pPr>
      <w:r w:rsidRPr="00824BC0">
        <w:rPr>
          <w:szCs w:val="24"/>
        </w:rPr>
        <w:t>The GAM for NGAs, Volume III describes the nature of particular accounts, among others, and prescribes when to use them.  The Manual describes the account Other Payables as follows:</w:t>
      </w:r>
    </w:p>
    <w:p w14:paraId="1902AD05" w14:textId="77777777" w:rsidR="00742B6D" w:rsidRPr="00824BC0" w:rsidRDefault="00742B6D" w:rsidP="00742B6D">
      <w:pPr>
        <w:spacing w:after="0" w:line="240" w:lineRule="auto"/>
        <w:jc w:val="both"/>
        <w:rPr>
          <w:rFonts w:ascii="Times New Roman" w:hAnsi="Times New Roman" w:cs="Times New Roman"/>
          <w:sz w:val="24"/>
          <w:szCs w:val="24"/>
        </w:rPr>
      </w:pPr>
    </w:p>
    <w:p w14:paraId="16B45B81" w14:textId="77777777" w:rsidR="00742B6D" w:rsidRPr="00824BC0" w:rsidRDefault="00742B6D" w:rsidP="00742B6D">
      <w:pPr>
        <w:spacing w:after="0" w:line="240" w:lineRule="auto"/>
        <w:jc w:val="both"/>
        <w:rPr>
          <w:rFonts w:ascii="Times New Roman" w:hAnsi="Times New Roman" w:cs="Times New Roman"/>
          <w:i/>
          <w:iCs/>
          <w:sz w:val="24"/>
          <w:szCs w:val="24"/>
        </w:rPr>
      </w:pPr>
      <w:r w:rsidRPr="00824BC0">
        <w:rPr>
          <w:rFonts w:ascii="Times New Roman" w:hAnsi="Times New Roman" w:cs="Times New Roman"/>
          <w:sz w:val="24"/>
          <w:szCs w:val="24"/>
        </w:rPr>
        <w:tab/>
      </w:r>
      <w:r w:rsidRPr="00824BC0">
        <w:rPr>
          <w:rFonts w:ascii="Times New Roman" w:hAnsi="Times New Roman" w:cs="Times New Roman"/>
          <w:i/>
          <w:iCs/>
          <w:sz w:val="24"/>
          <w:szCs w:val="24"/>
        </w:rPr>
        <w:t>Account Title</w:t>
      </w:r>
      <w:r w:rsidRPr="00824BC0">
        <w:rPr>
          <w:rFonts w:ascii="Times New Roman" w:hAnsi="Times New Roman" w:cs="Times New Roman"/>
          <w:i/>
          <w:iCs/>
          <w:sz w:val="24"/>
          <w:szCs w:val="24"/>
        </w:rPr>
        <w:tab/>
      </w:r>
      <w:r w:rsidRPr="00824BC0">
        <w:rPr>
          <w:rFonts w:ascii="Times New Roman" w:hAnsi="Times New Roman" w:cs="Times New Roman"/>
          <w:i/>
          <w:iCs/>
          <w:sz w:val="24"/>
          <w:szCs w:val="24"/>
        </w:rPr>
        <w:tab/>
        <w:t>Other Payables</w:t>
      </w:r>
    </w:p>
    <w:p w14:paraId="202730AB" w14:textId="77777777" w:rsidR="00742B6D" w:rsidRPr="00824BC0" w:rsidRDefault="00742B6D" w:rsidP="00742B6D">
      <w:pPr>
        <w:spacing w:after="0" w:line="240" w:lineRule="auto"/>
        <w:ind w:firstLine="720"/>
        <w:jc w:val="both"/>
        <w:rPr>
          <w:rFonts w:ascii="Times New Roman" w:hAnsi="Times New Roman" w:cs="Times New Roman"/>
          <w:i/>
          <w:iCs/>
          <w:sz w:val="24"/>
          <w:szCs w:val="24"/>
        </w:rPr>
      </w:pPr>
      <w:r w:rsidRPr="00824BC0">
        <w:rPr>
          <w:rFonts w:ascii="Times New Roman" w:hAnsi="Times New Roman" w:cs="Times New Roman"/>
          <w:i/>
          <w:iCs/>
          <w:sz w:val="24"/>
          <w:szCs w:val="24"/>
        </w:rPr>
        <w:t>Account Number</w:t>
      </w:r>
      <w:r w:rsidRPr="00824BC0">
        <w:rPr>
          <w:rFonts w:ascii="Times New Roman" w:hAnsi="Times New Roman" w:cs="Times New Roman"/>
          <w:i/>
          <w:iCs/>
          <w:sz w:val="24"/>
          <w:szCs w:val="24"/>
        </w:rPr>
        <w:tab/>
        <w:t>29999990</w:t>
      </w:r>
    </w:p>
    <w:p w14:paraId="1A82CA91" w14:textId="77777777" w:rsidR="00742B6D" w:rsidRPr="00824BC0" w:rsidRDefault="00742B6D" w:rsidP="00742B6D">
      <w:pPr>
        <w:spacing w:after="0" w:line="240" w:lineRule="auto"/>
        <w:ind w:firstLine="720"/>
        <w:jc w:val="both"/>
        <w:rPr>
          <w:rFonts w:ascii="Times New Roman" w:hAnsi="Times New Roman" w:cs="Times New Roman"/>
          <w:i/>
          <w:iCs/>
          <w:sz w:val="24"/>
          <w:szCs w:val="24"/>
        </w:rPr>
      </w:pPr>
      <w:r w:rsidRPr="00824BC0">
        <w:rPr>
          <w:rFonts w:ascii="Times New Roman" w:hAnsi="Times New Roman" w:cs="Times New Roman"/>
          <w:i/>
          <w:iCs/>
          <w:sz w:val="24"/>
          <w:szCs w:val="24"/>
        </w:rPr>
        <w:t xml:space="preserve">Normal Balance </w:t>
      </w:r>
      <w:r w:rsidRPr="00824BC0">
        <w:rPr>
          <w:rFonts w:ascii="Times New Roman" w:hAnsi="Times New Roman" w:cs="Times New Roman"/>
          <w:i/>
          <w:iCs/>
          <w:sz w:val="24"/>
          <w:szCs w:val="24"/>
        </w:rPr>
        <w:tab/>
        <w:t>Credit</w:t>
      </w:r>
    </w:p>
    <w:p w14:paraId="26A1EA3A" w14:textId="77777777" w:rsidR="00742B6D" w:rsidRPr="00824BC0" w:rsidRDefault="00742B6D" w:rsidP="0050514F">
      <w:pPr>
        <w:spacing w:after="0" w:line="240" w:lineRule="auto"/>
        <w:ind w:left="2880" w:right="1080" w:hanging="2160"/>
        <w:jc w:val="both"/>
        <w:rPr>
          <w:rFonts w:ascii="Times New Roman" w:hAnsi="Times New Roman" w:cs="Times New Roman"/>
          <w:i/>
          <w:iCs/>
          <w:sz w:val="24"/>
          <w:szCs w:val="24"/>
        </w:rPr>
      </w:pPr>
      <w:r w:rsidRPr="00824BC0">
        <w:rPr>
          <w:rFonts w:ascii="Times New Roman" w:hAnsi="Times New Roman" w:cs="Times New Roman"/>
          <w:i/>
          <w:iCs/>
          <w:sz w:val="24"/>
          <w:szCs w:val="24"/>
        </w:rPr>
        <w:t>Description</w:t>
      </w:r>
      <w:r w:rsidRPr="00824BC0">
        <w:rPr>
          <w:rFonts w:ascii="Times New Roman" w:hAnsi="Times New Roman" w:cs="Times New Roman"/>
          <w:i/>
          <w:iCs/>
          <w:sz w:val="24"/>
          <w:szCs w:val="24"/>
        </w:rPr>
        <w:tab/>
        <w:t>This account is used to recognize other liabilities not falling under any of the specific payable accounts. Debit this account for settlement of liabilities.</w:t>
      </w:r>
    </w:p>
    <w:p w14:paraId="2CA38CD6" w14:textId="77777777" w:rsidR="00742B6D" w:rsidRPr="00824BC0" w:rsidRDefault="00742B6D" w:rsidP="00742B6D">
      <w:pPr>
        <w:spacing w:after="0" w:line="240" w:lineRule="auto"/>
        <w:jc w:val="both"/>
        <w:rPr>
          <w:rFonts w:ascii="Times New Roman" w:hAnsi="Times New Roman" w:cs="Times New Roman"/>
          <w:sz w:val="24"/>
          <w:szCs w:val="24"/>
        </w:rPr>
      </w:pPr>
    </w:p>
    <w:p w14:paraId="195EB873" w14:textId="0EB375BD" w:rsidR="00742B6D" w:rsidRPr="00824BC0" w:rsidRDefault="00742B6D" w:rsidP="008017C3">
      <w:pPr>
        <w:pStyle w:val="ListParagraph"/>
        <w:numPr>
          <w:ilvl w:val="1"/>
          <w:numId w:val="5"/>
        </w:numPr>
        <w:ind w:left="0" w:firstLine="0"/>
        <w:jc w:val="both"/>
        <w:rPr>
          <w:szCs w:val="24"/>
        </w:rPr>
      </w:pPr>
      <w:r w:rsidRPr="00824BC0">
        <w:rPr>
          <w:szCs w:val="24"/>
        </w:rPr>
        <w:t>On the other hand, the various Revenue accounts related to the operations of the College are described in the same Manual, viz.:</w:t>
      </w:r>
    </w:p>
    <w:p w14:paraId="15B87D19" w14:textId="77777777" w:rsidR="00A37EB4" w:rsidRPr="00824BC0" w:rsidRDefault="00A37EB4" w:rsidP="00A37EB4">
      <w:pPr>
        <w:pStyle w:val="ListParagraph"/>
        <w:ind w:left="0"/>
        <w:jc w:val="both"/>
        <w:rPr>
          <w:szCs w:val="24"/>
        </w:rPr>
      </w:pPr>
    </w:p>
    <w:p w14:paraId="0833B3F4" w14:textId="77777777" w:rsidR="00742B6D" w:rsidRPr="00824BC0" w:rsidRDefault="00742B6D" w:rsidP="00742B6D">
      <w:pPr>
        <w:spacing w:after="0" w:line="240" w:lineRule="auto"/>
        <w:ind w:left="720"/>
        <w:jc w:val="both"/>
        <w:rPr>
          <w:rFonts w:ascii="Times New Roman" w:hAnsi="Times New Roman" w:cs="Times New Roman"/>
          <w:i/>
          <w:iCs/>
          <w:sz w:val="24"/>
          <w:szCs w:val="24"/>
        </w:rPr>
      </w:pPr>
      <w:r w:rsidRPr="00824BC0">
        <w:rPr>
          <w:rFonts w:ascii="Times New Roman" w:hAnsi="Times New Roman" w:cs="Times New Roman"/>
          <w:i/>
          <w:iCs/>
          <w:sz w:val="24"/>
          <w:szCs w:val="24"/>
        </w:rPr>
        <w:t>Account Title</w:t>
      </w:r>
      <w:r w:rsidRPr="00824BC0">
        <w:rPr>
          <w:rFonts w:ascii="Times New Roman" w:hAnsi="Times New Roman" w:cs="Times New Roman"/>
          <w:i/>
          <w:iCs/>
          <w:sz w:val="24"/>
          <w:szCs w:val="24"/>
        </w:rPr>
        <w:tab/>
      </w:r>
      <w:r w:rsidRPr="00824BC0">
        <w:rPr>
          <w:rFonts w:ascii="Times New Roman" w:hAnsi="Times New Roman" w:cs="Times New Roman"/>
          <w:i/>
          <w:iCs/>
          <w:sz w:val="24"/>
          <w:szCs w:val="24"/>
        </w:rPr>
        <w:tab/>
        <w:t>School Fees</w:t>
      </w:r>
    </w:p>
    <w:p w14:paraId="428B408D" w14:textId="77777777" w:rsidR="00742B6D" w:rsidRPr="00824BC0" w:rsidRDefault="00742B6D" w:rsidP="00742B6D">
      <w:pPr>
        <w:spacing w:after="0" w:line="240" w:lineRule="auto"/>
        <w:ind w:left="720"/>
        <w:jc w:val="both"/>
        <w:rPr>
          <w:rFonts w:ascii="Times New Roman" w:hAnsi="Times New Roman" w:cs="Times New Roman"/>
          <w:i/>
          <w:iCs/>
          <w:sz w:val="24"/>
          <w:szCs w:val="24"/>
        </w:rPr>
      </w:pPr>
      <w:r w:rsidRPr="00824BC0">
        <w:rPr>
          <w:rFonts w:ascii="Times New Roman" w:hAnsi="Times New Roman" w:cs="Times New Roman"/>
          <w:i/>
          <w:iCs/>
          <w:sz w:val="24"/>
          <w:szCs w:val="24"/>
        </w:rPr>
        <w:t>Account Number</w:t>
      </w:r>
      <w:r w:rsidRPr="00824BC0">
        <w:rPr>
          <w:rFonts w:ascii="Times New Roman" w:hAnsi="Times New Roman" w:cs="Times New Roman"/>
          <w:i/>
          <w:iCs/>
          <w:sz w:val="24"/>
          <w:szCs w:val="24"/>
        </w:rPr>
        <w:tab/>
        <w:t>40202010</w:t>
      </w:r>
    </w:p>
    <w:p w14:paraId="733841CD" w14:textId="77777777" w:rsidR="00742B6D" w:rsidRPr="00824BC0" w:rsidRDefault="00742B6D" w:rsidP="00742B6D">
      <w:pPr>
        <w:spacing w:after="0" w:line="240" w:lineRule="auto"/>
        <w:ind w:left="720"/>
        <w:jc w:val="both"/>
        <w:rPr>
          <w:rFonts w:ascii="Times New Roman" w:hAnsi="Times New Roman" w:cs="Times New Roman"/>
          <w:i/>
          <w:iCs/>
          <w:sz w:val="24"/>
          <w:szCs w:val="24"/>
        </w:rPr>
      </w:pPr>
      <w:r w:rsidRPr="00824BC0">
        <w:rPr>
          <w:rFonts w:ascii="Times New Roman" w:hAnsi="Times New Roman" w:cs="Times New Roman"/>
          <w:i/>
          <w:iCs/>
          <w:sz w:val="24"/>
          <w:szCs w:val="24"/>
        </w:rPr>
        <w:t xml:space="preserve">Normal Balance </w:t>
      </w:r>
      <w:r w:rsidRPr="00824BC0">
        <w:rPr>
          <w:rFonts w:ascii="Times New Roman" w:hAnsi="Times New Roman" w:cs="Times New Roman"/>
          <w:i/>
          <w:iCs/>
          <w:sz w:val="24"/>
          <w:szCs w:val="24"/>
        </w:rPr>
        <w:tab/>
        <w:t>Credit</w:t>
      </w:r>
    </w:p>
    <w:p w14:paraId="50415AD8" w14:textId="77777777" w:rsidR="00742B6D" w:rsidRPr="00824BC0" w:rsidRDefault="00742B6D" w:rsidP="0050514F">
      <w:pPr>
        <w:spacing w:after="0" w:line="240" w:lineRule="auto"/>
        <w:ind w:left="2880" w:right="1080" w:hanging="2160"/>
        <w:jc w:val="both"/>
        <w:rPr>
          <w:rFonts w:ascii="Times New Roman" w:hAnsi="Times New Roman" w:cs="Times New Roman"/>
          <w:i/>
          <w:iCs/>
          <w:sz w:val="24"/>
          <w:szCs w:val="24"/>
        </w:rPr>
      </w:pPr>
      <w:r w:rsidRPr="00824BC0">
        <w:rPr>
          <w:rFonts w:ascii="Times New Roman" w:hAnsi="Times New Roman" w:cs="Times New Roman"/>
          <w:i/>
          <w:iCs/>
          <w:sz w:val="24"/>
          <w:szCs w:val="24"/>
        </w:rPr>
        <w:t xml:space="preserve">Description </w:t>
      </w:r>
      <w:r w:rsidRPr="00824BC0">
        <w:rPr>
          <w:rFonts w:ascii="Times New Roman" w:hAnsi="Times New Roman" w:cs="Times New Roman"/>
          <w:i/>
          <w:iCs/>
          <w:sz w:val="24"/>
          <w:szCs w:val="24"/>
        </w:rPr>
        <w:tab/>
        <w:t xml:space="preserve">This account is used to recognize the fees imposed to students of state universities, colleges and public schools. It includes tuition, registration, athletic, cultural, diploma and graduation, transcript of recognizes, library, training, entrance examination fee, comprehensive examination fee and the like. This </w:t>
      </w:r>
      <w:r w:rsidRPr="00824BC0">
        <w:rPr>
          <w:rFonts w:ascii="Times New Roman" w:hAnsi="Times New Roman" w:cs="Times New Roman"/>
          <w:i/>
          <w:iCs/>
          <w:sz w:val="24"/>
          <w:szCs w:val="24"/>
        </w:rPr>
        <w:lastRenderedPageBreak/>
        <w:t>account shall be closed to the Revenue and Expense Summary account.</w:t>
      </w:r>
    </w:p>
    <w:p w14:paraId="7646F698" w14:textId="77777777" w:rsidR="00742B6D" w:rsidRPr="00824BC0" w:rsidRDefault="00742B6D" w:rsidP="00742B6D">
      <w:pPr>
        <w:spacing w:after="0" w:line="240" w:lineRule="auto"/>
        <w:jc w:val="both"/>
        <w:rPr>
          <w:rFonts w:ascii="Times New Roman" w:hAnsi="Times New Roman" w:cs="Times New Roman"/>
          <w:i/>
          <w:iCs/>
          <w:sz w:val="24"/>
          <w:szCs w:val="24"/>
        </w:rPr>
      </w:pPr>
    </w:p>
    <w:p w14:paraId="1B6F152A" w14:textId="77777777" w:rsidR="00742B6D" w:rsidRPr="00824BC0" w:rsidRDefault="00742B6D" w:rsidP="00742B6D">
      <w:pPr>
        <w:spacing w:after="0" w:line="240" w:lineRule="auto"/>
        <w:ind w:firstLine="720"/>
        <w:jc w:val="both"/>
        <w:rPr>
          <w:rFonts w:ascii="Times New Roman" w:hAnsi="Times New Roman" w:cs="Times New Roman"/>
          <w:i/>
          <w:iCs/>
          <w:sz w:val="24"/>
          <w:szCs w:val="24"/>
        </w:rPr>
      </w:pPr>
      <w:r w:rsidRPr="00824BC0">
        <w:rPr>
          <w:rFonts w:ascii="Times New Roman" w:hAnsi="Times New Roman" w:cs="Times New Roman"/>
          <w:i/>
          <w:iCs/>
          <w:sz w:val="24"/>
          <w:szCs w:val="24"/>
        </w:rPr>
        <w:t>Account Title</w:t>
      </w:r>
      <w:r w:rsidRPr="00824BC0">
        <w:rPr>
          <w:rFonts w:ascii="Times New Roman" w:hAnsi="Times New Roman" w:cs="Times New Roman"/>
          <w:i/>
          <w:iCs/>
          <w:sz w:val="24"/>
          <w:szCs w:val="24"/>
        </w:rPr>
        <w:tab/>
      </w:r>
      <w:r w:rsidRPr="00824BC0">
        <w:rPr>
          <w:rFonts w:ascii="Times New Roman" w:hAnsi="Times New Roman" w:cs="Times New Roman"/>
          <w:i/>
          <w:iCs/>
          <w:sz w:val="24"/>
          <w:szCs w:val="24"/>
        </w:rPr>
        <w:tab/>
        <w:t>Rent/Lease Income</w:t>
      </w:r>
    </w:p>
    <w:p w14:paraId="0F8BAE20" w14:textId="77777777" w:rsidR="00742B6D" w:rsidRPr="00824BC0" w:rsidRDefault="00742B6D" w:rsidP="00742B6D">
      <w:pPr>
        <w:spacing w:after="0" w:line="240" w:lineRule="auto"/>
        <w:ind w:firstLine="720"/>
        <w:jc w:val="both"/>
        <w:rPr>
          <w:rFonts w:ascii="Times New Roman" w:hAnsi="Times New Roman" w:cs="Times New Roman"/>
          <w:i/>
          <w:iCs/>
          <w:sz w:val="24"/>
          <w:szCs w:val="24"/>
        </w:rPr>
      </w:pPr>
      <w:r w:rsidRPr="00824BC0">
        <w:rPr>
          <w:rFonts w:ascii="Times New Roman" w:hAnsi="Times New Roman" w:cs="Times New Roman"/>
          <w:i/>
          <w:iCs/>
          <w:sz w:val="24"/>
          <w:szCs w:val="24"/>
        </w:rPr>
        <w:t>Account Number</w:t>
      </w:r>
      <w:r w:rsidRPr="00824BC0">
        <w:rPr>
          <w:rFonts w:ascii="Times New Roman" w:hAnsi="Times New Roman" w:cs="Times New Roman"/>
          <w:i/>
          <w:iCs/>
          <w:sz w:val="24"/>
          <w:szCs w:val="24"/>
        </w:rPr>
        <w:tab/>
        <w:t>40202050</w:t>
      </w:r>
    </w:p>
    <w:p w14:paraId="7CA3A823" w14:textId="77777777" w:rsidR="00742B6D" w:rsidRPr="00824BC0" w:rsidRDefault="00742B6D" w:rsidP="00742B6D">
      <w:pPr>
        <w:spacing w:after="0" w:line="240" w:lineRule="auto"/>
        <w:ind w:firstLine="720"/>
        <w:jc w:val="both"/>
        <w:rPr>
          <w:rFonts w:ascii="Times New Roman" w:hAnsi="Times New Roman" w:cs="Times New Roman"/>
          <w:i/>
          <w:iCs/>
          <w:sz w:val="24"/>
          <w:szCs w:val="24"/>
        </w:rPr>
      </w:pPr>
      <w:r w:rsidRPr="00824BC0">
        <w:rPr>
          <w:rFonts w:ascii="Times New Roman" w:hAnsi="Times New Roman" w:cs="Times New Roman"/>
          <w:i/>
          <w:iCs/>
          <w:sz w:val="24"/>
          <w:szCs w:val="24"/>
        </w:rPr>
        <w:t xml:space="preserve">Normal Balance </w:t>
      </w:r>
      <w:r w:rsidRPr="00824BC0">
        <w:rPr>
          <w:rFonts w:ascii="Times New Roman" w:hAnsi="Times New Roman" w:cs="Times New Roman"/>
          <w:i/>
          <w:iCs/>
          <w:sz w:val="24"/>
          <w:szCs w:val="24"/>
        </w:rPr>
        <w:tab/>
        <w:t>Credit</w:t>
      </w:r>
    </w:p>
    <w:p w14:paraId="2D762E7E" w14:textId="77777777" w:rsidR="00742B6D" w:rsidRPr="00824BC0" w:rsidRDefault="00742B6D" w:rsidP="0050514F">
      <w:pPr>
        <w:spacing w:after="0" w:line="240" w:lineRule="auto"/>
        <w:ind w:left="2880" w:right="1080" w:hanging="2160"/>
        <w:jc w:val="both"/>
        <w:rPr>
          <w:rFonts w:ascii="Times New Roman" w:hAnsi="Times New Roman" w:cs="Times New Roman"/>
          <w:i/>
          <w:iCs/>
          <w:sz w:val="24"/>
          <w:szCs w:val="24"/>
        </w:rPr>
      </w:pPr>
      <w:r w:rsidRPr="00824BC0">
        <w:rPr>
          <w:rFonts w:ascii="Times New Roman" w:hAnsi="Times New Roman" w:cs="Times New Roman"/>
          <w:i/>
          <w:iCs/>
          <w:sz w:val="24"/>
          <w:szCs w:val="24"/>
        </w:rPr>
        <w:t xml:space="preserve">Description </w:t>
      </w:r>
      <w:r w:rsidRPr="00824BC0">
        <w:rPr>
          <w:rFonts w:ascii="Times New Roman" w:hAnsi="Times New Roman" w:cs="Times New Roman"/>
          <w:i/>
          <w:iCs/>
          <w:sz w:val="24"/>
          <w:szCs w:val="24"/>
        </w:rPr>
        <w:tab/>
        <w:t>This account is used to recognize the income from use of government properties/facilities, such as rent/lease of function rooms/buildings, fees on storage, warehousing, use of heavy equipment of other government agencies, rental fees of drilling equipment and accessories, leased lines/channels, and the like. This also includes income from finance lease. This account shall be closed to the Revenue and Expense Summary account.</w:t>
      </w:r>
    </w:p>
    <w:p w14:paraId="29E26148" w14:textId="77777777" w:rsidR="00742B6D" w:rsidRPr="00824BC0" w:rsidRDefault="00742B6D" w:rsidP="00742B6D">
      <w:pPr>
        <w:spacing w:after="0" w:line="240" w:lineRule="auto"/>
        <w:jc w:val="both"/>
        <w:rPr>
          <w:rFonts w:ascii="Times New Roman" w:hAnsi="Times New Roman" w:cs="Times New Roman"/>
          <w:i/>
          <w:iCs/>
          <w:sz w:val="24"/>
          <w:szCs w:val="24"/>
        </w:rPr>
      </w:pPr>
    </w:p>
    <w:p w14:paraId="6CBAC1E6" w14:textId="77777777" w:rsidR="00742B6D" w:rsidRPr="00824BC0" w:rsidRDefault="00742B6D" w:rsidP="00742B6D">
      <w:pPr>
        <w:spacing w:after="0" w:line="240" w:lineRule="auto"/>
        <w:ind w:firstLine="720"/>
        <w:jc w:val="both"/>
        <w:rPr>
          <w:rFonts w:ascii="Times New Roman" w:hAnsi="Times New Roman" w:cs="Times New Roman"/>
          <w:i/>
          <w:iCs/>
          <w:sz w:val="24"/>
          <w:szCs w:val="24"/>
        </w:rPr>
      </w:pPr>
      <w:r w:rsidRPr="00824BC0">
        <w:rPr>
          <w:rFonts w:ascii="Times New Roman" w:hAnsi="Times New Roman" w:cs="Times New Roman"/>
          <w:i/>
          <w:iCs/>
          <w:sz w:val="24"/>
          <w:szCs w:val="24"/>
        </w:rPr>
        <w:t>Account Title</w:t>
      </w:r>
      <w:r w:rsidRPr="00824BC0">
        <w:rPr>
          <w:rFonts w:ascii="Times New Roman" w:hAnsi="Times New Roman" w:cs="Times New Roman"/>
          <w:i/>
          <w:iCs/>
          <w:sz w:val="24"/>
          <w:szCs w:val="24"/>
        </w:rPr>
        <w:tab/>
      </w:r>
      <w:r w:rsidRPr="00824BC0">
        <w:rPr>
          <w:rFonts w:ascii="Times New Roman" w:hAnsi="Times New Roman" w:cs="Times New Roman"/>
          <w:i/>
          <w:iCs/>
          <w:sz w:val="24"/>
          <w:szCs w:val="24"/>
        </w:rPr>
        <w:tab/>
        <w:t>Sales Revenue</w:t>
      </w:r>
    </w:p>
    <w:p w14:paraId="53AD7DFA" w14:textId="77777777" w:rsidR="00742B6D" w:rsidRPr="00824BC0" w:rsidRDefault="00742B6D" w:rsidP="00742B6D">
      <w:pPr>
        <w:spacing w:after="0" w:line="240" w:lineRule="auto"/>
        <w:ind w:firstLine="720"/>
        <w:jc w:val="both"/>
        <w:rPr>
          <w:rFonts w:ascii="Times New Roman" w:hAnsi="Times New Roman" w:cs="Times New Roman"/>
          <w:i/>
          <w:iCs/>
          <w:sz w:val="24"/>
          <w:szCs w:val="24"/>
        </w:rPr>
      </w:pPr>
      <w:r w:rsidRPr="00824BC0">
        <w:rPr>
          <w:rFonts w:ascii="Times New Roman" w:hAnsi="Times New Roman" w:cs="Times New Roman"/>
          <w:i/>
          <w:iCs/>
          <w:sz w:val="24"/>
          <w:szCs w:val="24"/>
        </w:rPr>
        <w:t>Account Number</w:t>
      </w:r>
      <w:r w:rsidRPr="00824BC0">
        <w:rPr>
          <w:rFonts w:ascii="Times New Roman" w:hAnsi="Times New Roman" w:cs="Times New Roman"/>
          <w:i/>
          <w:iCs/>
          <w:sz w:val="24"/>
          <w:szCs w:val="24"/>
        </w:rPr>
        <w:tab/>
        <w:t>40202160</w:t>
      </w:r>
    </w:p>
    <w:p w14:paraId="41C6CF8A" w14:textId="77777777" w:rsidR="00742B6D" w:rsidRPr="00824BC0" w:rsidRDefault="00742B6D" w:rsidP="00742B6D">
      <w:pPr>
        <w:spacing w:after="0" w:line="240" w:lineRule="auto"/>
        <w:ind w:firstLine="720"/>
        <w:jc w:val="both"/>
        <w:rPr>
          <w:rFonts w:ascii="Times New Roman" w:hAnsi="Times New Roman" w:cs="Times New Roman"/>
          <w:i/>
          <w:iCs/>
          <w:sz w:val="24"/>
          <w:szCs w:val="24"/>
        </w:rPr>
      </w:pPr>
      <w:r w:rsidRPr="00824BC0">
        <w:rPr>
          <w:rFonts w:ascii="Times New Roman" w:hAnsi="Times New Roman" w:cs="Times New Roman"/>
          <w:i/>
          <w:iCs/>
          <w:sz w:val="24"/>
          <w:szCs w:val="24"/>
        </w:rPr>
        <w:t xml:space="preserve">Normal Balance </w:t>
      </w:r>
      <w:r w:rsidRPr="00824BC0">
        <w:rPr>
          <w:rFonts w:ascii="Times New Roman" w:hAnsi="Times New Roman" w:cs="Times New Roman"/>
          <w:i/>
          <w:iCs/>
          <w:sz w:val="24"/>
          <w:szCs w:val="24"/>
        </w:rPr>
        <w:tab/>
        <w:t>Credit</w:t>
      </w:r>
    </w:p>
    <w:p w14:paraId="0314B44F" w14:textId="77777777" w:rsidR="00742B6D" w:rsidRPr="00824BC0" w:rsidRDefault="00742B6D" w:rsidP="0050514F">
      <w:pPr>
        <w:spacing w:after="0" w:line="240" w:lineRule="auto"/>
        <w:ind w:left="2880" w:right="1080" w:hanging="2160"/>
        <w:jc w:val="both"/>
        <w:rPr>
          <w:rFonts w:ascii="Times New Roman" w:hAnsi="Times New Roman" w:cs="Times New Roman"/>
          <w:i/>
          <w:iCs/>
          <w:sz w:val="24"/>
          <w:szCs w:val="24"/>
        </w:rPr>
      </w:pPr>
      <w:r w:rsidRPr="00824BC0">
        <w:rPr>
          <w:rFonts w:ascii="Times New Roman" w:hAnsi="Times New Roman" w:cs="Times New Roman"/>
          <w:i/>
          <w:iCs/>
          <w:sz w:val="24"/>
          <w:szCs w:val="24"/>
        </w:rPr>
        <w:t xml:space="preserve">Description </w:t>
      </w:r>
      <w:r w:rsidRPr="00824BC0">
        <w:rPr>
          <w:rFonts w:ascii="Times New Roman" w:hAnsi="Times New Roman" w:cs="Times New Roman"/>
          <w:i/>
          <w:iCs/>
          <w:sz w:val="24"/>
          <w:szCs w:val="24"/>
        </w:rPr>
        <w:tab/>
        <w:t>This account is used to recognize the income from sale of merchandise and other inventory items and services in the regular course of business. The balance of this account after cost of sales and sales discount shall be closed to the Revenue and Expense Summary account.</w:t>
      </w:r>
    </w:p>
    <w:p w14:paraId="395A9F6C" w14:textId="77777777" w:rsidR="00742B6D" w:rsidRPr="00824BC0" w:rsidRDefault="00742B6D" w:rsidP="00742B6D">
      <w:pPr>
        <w:spacing w:after="0" w:line="240" w:lineRule="auto"/>
        <w:ind w:firstLine="720"/>
        <w:jc w:val="both"/>
        <w:rPr>
          <w:rFonts w:ascii="Times New Roman" w:hAnsi="Times New Roman" w:cs="Times New Roman"/>
          <w:i/>
          <w:iCs/>
          <w:sz w:val="24"/>
          <w:szCs w:val="24"/>
        </w:rPr>
      </w:pPr>
    </w:p>
    <w:p w14:paraId="64A2BB70" w14:textId="77777777" w:rsidR="00742B6D" w:rsidRPr="00824BC0" w:rsidRDefault="00742B6D" w:rsidP="00742B6D">
      <w:pPr>
        <w:spacing w:after="0" w:line="240" w:lineRule="auto"/>
        <w:ind w:firstLine="720"/>
        <w:jc w:val="both"/>
        <w:rPr>
          <w:rFonts w:ascii="Times New Roman" w:hAnsi="Times New Roman" w:cs="Times New Roman"/>
          <w:i/>
          <w:iCs/>
          <w:sz w:val="24"/>
          <w:szCs w:val="24"/>
        </w:rPr>
      </w:pPr>
      <w:r w:rsidRPr="00824BC0">
        <w:rPr>
          <w:rFonts w:ascii="Times New Roman" w:hAnsi="Times New Roman" w:cs="Times New Roman"/>
          <w:i/>
          <w:iCs/>
          <w:sz w:val="24"/>
          <w:szCs w:val="24"/>
        </w:rPr>
        <w:t>Account Title</w:t>
      </w:r>
      <w:r w:rsidRPr="00824BC0">
        <w:rPr>
          <w:rFonts w:ascii="Times New Roman" w:hAnsi="Times New Roman" w:cs="Times New Roman"/>
          <w:i/>
          <w:iCs/>
          <w:sz w:val="24"/>
          <w:szCs w:val="24"/>
        </w:rPr>
        <w:tab/>
      </w:r>
      <w:r w:rsidRPr="00824BC0">
        <w:rPr>
          <w:rFonts w:ascii="Times New Roman" w:hAnsi="Times New Roman" w:cs="Times New Roman"/>
          <w:i/>
          <w:iCs/>
          <w:sz w:val="24"/>
          <w:szCs w:val="24"/>
        </w:rPr>
        <w:tab/>
        <w:t>Other Business Income</w:t>
      </w:r>
    </w:p>
    <w:p w14:paraId="51FDA349" w14:textId="77777777" w:rsidR="00742B6D" w:rsidRPr="00824BC0" w:rsidRDefault="00742B6D" w:rsidP="00742B6D">
      <w:pPr>
        <w:spacing w:after="0" w:line="240" w:lineRule="auto"/>
        <w:ind w:firstLine="720"/>
        <w:jc w:val="both"/>
        <w:rPr>
          <w:rFonts w:ascii="Times New Roman" w:hAnsi="Times New Roman" w:cs="Times New Roman"/>
          <w:i/>
          <w:iCs/>
          <w:sz w:val="24"/>
          <w:szCs w:val="24"/>
        </w:rPr>
      </w:pPr>
      <w:r w:rsidRPr="00824BC0">
        <w:rPr>
          <w:rFonts w:ascii="Times New Roman" w:hAnsi="Times New Roman" w:cs="Times New Roman"/>
          <w:i/>
          <w:iCs/>
          <w:sz w:val="24"/>
          <w:szCs w:val="24"/>
        </w:rPr>
        <w:t>Account Number</w:t>
      </w:r>
      <w:r w:rsidRPr="00824BC0">
        <w:rPr>
          <w:rFonts w:ascii="Times New Roman" w:hAnsi="Times New Roman" w:cs="Times New Roman"/>
          <w:i/>
          <w:iCs/>
          <w:sz w:val="24"/>
          <w:szCs w:val="24"/>
        </w:rPr>
        <w:tab/>
        <w:t>40202990</w:t>
      </w:r>
    </w:p>
    <w:p w14:paraId="0A6DFB11" w14:textId="77777777" w:rsidR="00742B6D" w:rsidRPr="00824BC0" w:rsidRDefault="00742B6D" w:rsidP="00742B6D">
      <w:pPr>
        <w:spacing w:after="0" w:line="240" w:lineRule="auto"/>
        <w:ind w:firstLine="720"/>
        <w:jc w:val="both"/>
        <w:rPr>
          <w:rFonts w:ascii="Times New Roman" w:hAnsi="Times New Roman" w:cs="Times New Roman"/>
          <w:i/>
          <w:iCs/>
          <w:sz w:val="24"/>
          <w:szCs w:val="24"/>
        </w:rPr>
      </w:pPr>
      <w:r w:rsidRPr="00824BC0">
        <w:rPr>
          <w:rFonts w:ascii="Times New Roman" w:hAnsi="Times New Roman" w:cs="Times New Roman"/>
          <w:i/>
          <w:iCs/>
          <w:sz w:val="24"/>
          <w:szCs w:val="24"/>
        </w:rPr>
        <w:t xml:space="preserve">Normal Balance </w:t>
      </w:r>
      <w:r w:rsidRPr="00824BC0">
        <w:rPr>
          <w:rFonts w:ascii="Times New Roman" w:hAnsi="Times New Roman" w:cs="Times New Roman"/>
          <w:i/>
          <w:iCs/>
          <w:sz w:val="24"/>
          <w:szCs w:val="24"/>
        </w:rPr>
        <w:tab/>
        <w:t>Credit</w:t>
      </w:r>
    </w:p>
    <w:p w14:paraId="384582F5" w14:textId="77777777" w:rsidR="00742B6D" w:rsidRPr="00824BC0" w:rsidRDefault="00742B6D" w:rsidP="0050514F">
      <w:pPr>
        <w:spacing w:after="0" w:line="240" w:lineRule="auto"/>
        <w:ind w:left="2880" w:right="1080" w:hanging="2160"/>
        <w:jc w:val="both"/>
        <w:rPr>
          <w:rFonts w:ascii="Times New Roman" w:hAnsi="Times New Roman" w:cs="Times New Roman"/>
          <w:i/>
          <w:iCs/>
          <w:sz w:val="24"/>
          <w:szCs w:val="24"/>
        </w:rPr>
      </w:pPr>
      <w:r w:rsidRPr="00824BC0">
        <w:rPr>
          <w:rFonts w:ascii="Times New Roman" w:hAnsi="Times New Roman" w:cs="Times New Roman"/>
          <w:i/>
          <w:iCs/>
          <w:sz w:val="24"/>
          <w:szCs w:val="24"/>
        </w:rPr>
        <w:t xml:space="preserve">Description </w:t>
      </w:r>
      <w:r w:rsidRPr="00824BC0">
        <w:rPr>
          <w:rFonts w:ascii="Times New Roman" w:hAnsi="Times New Roman" w:cs="Times New Roman"/>
          <w:i/>
          <w:iCs/>
          <w:sz w:val="24"/>
          <w:szCs w:val="24"/>
        </w:rPr>
        <w:tab/>
        <w:t>This account is used to recognize other business income not falling under any of the specific business income accounts. This account shall be closed to the Revenue and Expense Summary account.</w:t>
      </w:r>
    </w:p>
    <w:p w14:paraId="5DBDCB4A" w14:textId="77777777" w:rsidR="00742B6D" w:rsidRPr="00824BC0" w:rsidRDefault="00742B6D" w:rsidP="00742B6D">
      <w:pPr>
        <w:spacing w:after="0" w:line="240" w:lineRule="auto"/>
        <w:jc w:val="both"/>
        <w:rPr>
          <w:rFonts w:ascii="Times New Roman" w:hAnsi="Times New Roman" w:cs="Times New Roman"/>
          <w:i/>
          <w:iCs/>
          <w:sz w:val="24"/>
          <w:szCs w:val="24"/>
        </w:rPr>
      </w:pPr>
    </w:p>
    <w:p w14:paraId="552CD15D" w14:textId="77777777" w:rsidR="00742B6D" w:rsidRPr="00824BC0" w:rsidRDefault="00742B6D" w:rsidP="00742B6D">
      <w:pPr>
        <w:spacing w:after="0" w:line="240" w:lineRule="auto"/>
        <w:ind w:firstLine="720"/>
        <w:jc w:val="both"/>
        <w:rPr>
          <w:rFonts w:ascii="Times New Roman" w:hAnsi="Times New Roman" w:cs="Times New Roman"/>
          <w:i/>
          <w:iCs/>
          <w:sz w:val="24"/>
          <w:szCs w:val="24"/>
        </w:rPr>
      </w:pPr>
      <w:r w:rsidRPr="00824BC0">
        <w:rPr>
          <w:rFonts w:ascii="Times New Roman" w:hAnsi="Times New Roman" w:cs="Times New Roman"/>
          <w:i/>
          <w:iCs/>
          <w:sz w:val="24"/>
          <w:szCs w:val="24"/>
        </w:rPr>
        <w:t>Account Title</w:t>
      </w:r>
      <w:r w:rsidRPr="00824BC0">
        <w:rPr>
          <w:rFonts w:ascii="Times New Roman" w:hAnsi="Times New Roman" w:cs="Times New Roman"/>
          <w:i/>
          <w:iCs/>
          <w:sz w:val="24"/>
          <w:szCs w:val="24"/>
        </w:rPr>
        <w:tab/>
      </w:r>
      <w:r w:rsidRPr="00824BC0">
        <w:rPr>
          <w:rFonts w:ascii="Times New Roman" w:hAnsi="Times New Roman" w:cs="Times New Roman"/>
          <w:i/>
          <w:iCs/>
          <w:sz w:val="24"/>
          <w:szCs w:val="24"/>
        </w:rPr>
        <w:tab/>
        <w:t>Gain on Sale of Biological Assets</w:t>
      </w:r>
    </w:p>
    <w:p w14:paraId="3368C3D0" w14:textId="77777777" w:rsidR="00742B6D" w:rsidRPr="00824BC0" w:rsidRDefault="00742B6D" w:rsidP="00742B6D">
      <w:pPr>
        <w:spacing w:after="0" w:line="240" w:lineRule="auto"/>
        <w:ind w:firstLine="720"/>
        <w:jc w:val="both"/>
        <w:rPr>
          <w:rFonts w:ascii="Times New Roman" w:hAnsi="Times New Roman" w:cs="Times New Roman"/>
          <w:i/>
          <w:iCs/>
          <w:sz w:val="24"/>
          <w:szCs w:val="24"/>
        </w:rPr>
      </w:pPr>
      <w:r w:rsidRPr="00824BC0">
        <w:rPr>
          <w:rFonts w:ascii="Times New Roman" w:hAnsi="Times New Roman" w:cs="Times New Roman"/>
          <w:i/>
          <w:iCs/>
          <w:sz w:val="24"/>
          <w:szCs w:val="24"/>
        </w:rPr>
        <w:t>Account Number</w:t>
      </w:r>
      <w:r w:rsidRPr="00824BC0">
        <w:rPr>
          <w:rFonts w:ascii="Times New Roman" w:hAnsi="Times New Roman" w:cs="Times New Roman"/>
          <w:i/>
          <w:iCs/>
          <w:sz w:val="24"/>
          <w:szCs w:val="24"/>
        </w:rPr>
        <w:tab/>
        <w:t>40501060</w:t>
      </w:r>
    </w:p>
    <w:p w14:paraId="552CD309" w14:textId="77777777" w:rsidR="00742B6D" w:rsidRPr="00824BC0" w:rsidRDefault="00742B6D" w:rsidP="00742B6D">
      <w:pPr>
        <w:spacing w:after="0" w:line="240" w:lineRule="auto"/>
        <w:ind w:firstLine="720"/>
        <w:jc w:val="both"/>
        <w:rPr>
          <w:rFonts w:ascii="Times New Roman" w:hAnsi="Times New Roman" w:cs="Times New Roman"/>
          <w:i/>
          <w:iCs/>
          <w:sz w:val="24"/>
          <w:szCs w:val="24"/>
        </w:rPr>
      </w:pPr>
      <w:r w:rsidRPr="00824BC0">
        <w:rPr>
          <w:rFonts w:ascii="Times New Roman" w:hAnsi="Times New Roman" w:cs="Times New Roman"/>
          <w:i/>
          <w:iCs/>
          <w:sz w:val="24"/>
          <w:szCs w:val="24"/>
        </w:rPr>
        <w:t xml:space="preserve">Normal Balance </w:t>
      </w:r>
      <w:r w:rsidRPr="00824BC0">
        <w:rPr>
          <w:rFonts w:ascii="Times New Roman" w:hAnsi="Times New Roman" w:cs="Times New Roman"/>
          <w:i/>
          <w:iCs/>
          <w:sz w:val="24"/>
          <w:szCs w:val="24"/>
        </w:rPr>
        <w:tab/>
        <w:t>Credit</w:t>
      </w:r>
    </w:p>
    <w:p w14:paraId="33A8DD42" w14:textId="77777777" w:rsidR="00742B6D" w:rsidRPr="00824BC0" w:rsidRDefault="00742B6D" w:rsidP="0050514F">
      <w:pPr>
        <w:spacing w:after="0" w:line="240" w:lineRule="auto"/>
        <w:ind w:left="2880" w:right="1080" w:hanging="2160"/>
        <w:jc w:val="both"/>
        <w:rPr>
          <w:rFonts w:ascii="Times New Roman" w:hAnsi="Times New Roman" w:cs="Times New Roman"/>
          <w:i/>
          <w:iCs/>
          <w:sz w:val="24"/>
          <w:szCs w:val="24"/>
        </w:rPr>
      </w:pPr>
      <w:r w:rsidRPr="00824BC0">
        <w:rPr>
          <w:rFonts w:ascii="Times New Roman" w:hAnsi="Times New Roman" w:cs="Times New Roman"/>
          <w:i/>
          <w:iCs/>
          <w:sz w:val="24"/>
          <w:szCs w:val="24"/>
        </w:rPr>
        <w:t xml:space="preserve">Description </w:t>
      </w:r>
      <w:r w:rsidRPr="00824BC0">
        <w:rPr>
          <w:rFonts w:ascii="Times New Roman" w:hAnsi="Times New Roman" w:cs="Times New Roman"/>
          <w:i/>
          <w:iCs/>
          <w:sz w:val="24"/>
          <w:szCs w:val="24"/>
        </w:rPr>
        <w:tab/>
        <w:t>This account is used to recognize gains on the sale of biological assets. This account shall be closed to the Revenue and Expense Summary account.</w:t>
      </w:r>
    </w:p>
    <w:p w14:paraId="703CF069" w14:textId="77777777" w:rsidR="00742B6D" w:rsidRPr="00824BC0" w:rsidRDefault="00742B6D" w:rsidP="00742B6D">
      <w:pPr>
        <w:spacing w:after="0" w:line="240" w:lineRule="auto"/>
        <w:jc w:val="both"/>
        <w:rPr>
          <w:rFonts w:ascii="Times New Roman" w:hAnsi="Times New Roman" w:cs="Times New Roman"/>
          <w:i/>
          <w:iCs/>
          <w:sz w:val="24"/>
          <w:szCs w:val="24"/>
        </w:rPr>
      </w:pPr>
    </w:p>
    <w:p w14:paraId="6CDFD843" w14:textId="77777777" w:rsidR="00742B6D" w:rsidRPr="00824BC0" w:rsidRDefault="00742B6D" w:rsidP="00742B6D">
      <w:pPr>
        <w:spacing w:after="0" w:line="240" w:lineRule="auto"/>
        <w:ind w:firstLine="720"/>
        <w:jc w:val="both"/>
        <w:rPr>
          <w:rFonts w:ascii="Times New Roman" w:hAnsi="Times New Roman" w:cs="Times New Roman"/>
          <w:i/>
          <w:iCs/>
          <w:sz w:val="24"/>
          <w:szCs w:val="24"/>
        </w:rPr>
      </w:pPr>
      <w:r w:rsidRPr="00824BC0">
        <w:rPr>
          <w:rFonts w:ascii="Times New Roman" w:hAnsi="Times New Roman" w:cs="Times New Roman"/>
          <w:i/>
          <w:iCs/>
          <w:sz w:val="24"/>
          <w:szCs w:val="24"/>
        </w:rPr>
        <w:t>Account Title</w:t>
      </w:r>
      <w:r w:rsidRPr="00824BC0">
        <w:rPr>
          <w:rFonts w:ascii="Times New Roman" w:hAnsi="Times New Roman" w:cs="Times New Roman"/>
          <w:i/>
          <w:iCs/>
          <w:sz w:val="24"/>
          <w:szCs w:val="24"/>
        </w:rPr>
        <w:tab/>
      </w:r>
      <w:r w:rsidRPr="00824BC0">
        <w:rPr>
          <w:rFonts w:ascii="Times New Roman" w:hAnsi="Times New Roman" w:cs="Times New Roman"/>
          <w:i/>
          <w:iCs/>
          <w:sz w:val="24"/>
          <w:szCs w:val="24"/>
        </w:rPr>
        <w:tab/>
        <w:t>Gain on Sale of Agricultural Produce</w:t>
      </w:r>
    </w:p>
    <w:p w14:paraId="627886BD" w14:textId="77777777" w:rsidR="00742B6D" w:rsidRPr="00824BC0" w:rsidRDefault="00742B6D" w:rsidP="00742B6D">
      <w:pPr>
        <w:spacing w:after="0" w:line="240" w:lineRule="auto"/>
        <w:ind w:firstLine="720"/>
        <w:jc w:val="both"/>
        <w:rPr>
          <w:rFonts w:ascii="Times New Roman" w:hAnsi="Times New Roman" w:cs="Times New Roman"/>
          <w:i/>
          <w:iCs/>
          <w:sz w:val="24"/>
          <w:szCs w:val="24"/>
        </w:rPr>
      </w:pPr>
      <w:r w:rsidRPr="00824BC0">
        <w:rPr>
          <w:rFonts w:ascii="Times New Roman" w:hAnsi="Times New Roman" w:cs="Times New Roman"/>
          <w:i/>
          <w:iCs/>
          <w:sz w:val="24"/>
          <w:szCs w:val="24"/>
        </w:rPr>
        <w:t>Account Number</w:t>
      </w:r>
      <w:r w:rsidRPr="00824BC0">
        <w:rPr>
          <w:rFonts w:ascii="Times New Roman" w:hAnsi="Times New Roman" w:cs="Times New Roman"/>
          <w:i/>
          <w:iCs/>
          <w:sz w:val="24"/>
          <w:szCs w:val="24"/>
        </w:rPr>
        <w:tab/>
        <w:t>40501090</w:t>
      </w:r>
    </w:p>
    <w:p w14:paraId="44D5D900" w14:textId="77777777" w:rsidR="00742B6D" w:rsidRPr="00824BC0" w:rsidRDefault="00742B6D" w:rsidP="00742B6D">
      <w:pPr>
        <w:spacing w:after="0" w:line="240" w:lineRule="auto"/>
        <w:ind w:firstLine="720"/>
        <w:jc w:val="both"/>
        <w:rPr>
          <w:rFonts w:ascii="Times New Roman" w:hAnsi="Times New Roman" w:cs="Times New Roman"/>
          <w:i/>
          <w:iCs/>
          <w:sz w:val="24"/>
          <w:szCs w:val="24"/>
        </w:rPr>
      </w:pPr>
      <w:r w:rsidRPr="00824BC0">
        <w:rPr>
          <w:rFonts w:ascii="Times New Roman" w:hAnsi="Times New Roman" w:cs="Times New Roman"/>
          <w:i/>
          <w:iCs/>
          <w:sz w:val="24"/>
          <w:szCs w:val="24"/>
        </w:rPr>
        <w:lastRenderedPageBreak/>
        <w:t xml:space="preserve">Normal Balance </w:t>
      </w:r>
      <w:r w:rsidRPr="00824BC0">
        <w:rPr>
          <w:rFonts w:ascii="Times New Roman" w:hAnsi="Times New Roman" w:cs="Times New Roman"/>
          <w:i/>
          <w:iCs/>
          <w:sz w:val="24"/>
          <w:szCs w:val="24"/>
        </w:rPr>
        <w:tab/>
        <w:t>Credit</w:t>
      </w:r>
    </w:p>
    <w:p w14:paraId="5AF2B4C2" w14:textId="77777777" w:rsidR="00742B6D" w:rsidRPr="00824BC0" w:rsidRDefault="00742B6D" w:rsidP="0050514F">
      <w:pPr>
        <w:spacing w:after="0" w:line="240" w:lineRule="auto"/>
        <w:ind w:left="2880" w:right="1080" w:hanging="2160"/>
        <w:jc w:val="both"/>
        <w:rPr>
          <w:rFonts w:ascii="Times New Roman" w:hAnsi="Times New Roman" w:cs="Times New Roman"/>
          <w:i/>
          <w:iCs/>
          <w:sz w:val="24"/>
          <w:szCs w:val="24"/>
        </w:rPr>
      </w:pPr>
      <w:r w:rsidRPr="00824BC0">
        <w:rPr>
          <w:rFonts w:ascii="Times New Roman" w:hAnsi="Times New Roman" w:cs="Times New Roman"/>
          <w:i/>
          <w:iCs/>
          <w:sz w:val="24"/>
          <w:szCs w:val="24"/>
        </w:rPr>
        <w:t xml:space="preserve">Description </w:t>
      </w:r>
      <w:r w:rsidRPr="00824BC0">
        <w:rPr>
          <w:rFonts w:ascii="Times New Roman" w:hAnsi="Times New Roman" w:cs="Times New Roman"/>
          <w:i/>
          <w:iCs/>
          <w:sz w:val="24"/>
          <w:szCs w:val="24"/>
        </w:rPr>
        <w:tab/>
        <w:t>This account is used to recognize the fair value of the harvests and offspring of biological assets at the point of harvest. This account shall be closed to the Revenue and Expense Summary account.</w:t>
      </w:r>
    </w:p>
    <w:p w14:paraId="2C0D5590" w14:textId="77777777" w:rsidR="00742B6D" w:rsidRPr="00824BC0" w:rsidRDefault="00742B6D" w:rsidP="00742B6D">
      <w:pPr>
        <w:spacing w:after="0" w:line="240" w:lineRule="auto"/>
        <w:jc w:val="both"/>
        <w:rPr>
          <w:rFonts w:ascii="Times New Roman" w:hAnsi="Times New Roman" w:cs="Times New Roman"/>
          <w:b/>
          <w:bCs/>
          <w:i/>
          <w:iCs/>
          <w:sz w:val="24"/>
          <w:szCs w:val="24"/>
        </w:rPr>
      </w:pPr>
    </w:p>
    <w:p w14:paraId="16983C0C" w14:textId="77777777" w:rsidR="00742B6D" w:rsidRPr="00824BC0" w:rsidRDefault="00742B6D" w:rsidP="00742B6D">
      <w:pPr>
        <w:spacing w:after="0" w:line="240" w:lineRule="auto"/>
        <w:ind w:firstLine="720"/>
        <w:jc w:val="both"/>
        <w:rPr>
          <w:rFonts w:ascii="Times New Roman" w:hAnsi="Times New Roman" w:cs="Times New Roman"/>
          <w:i/>
          <w:iCs/>
          <w:sz w:val="24"/>
          <w:szCs w:val="24"/>
        </w:rPr>
      </w:pPr>
      <w:r w:rsidRPr="00824BC0">
        <w:rPr>
          <w:rFonts w:ascii="Times New Roman" w:hAnsi="Times New Roman" w:cs="Times New Roman"/>
          <w:i/>
          <w:iCs/>
          <w:sz w:val="24"/>
          <w:szCs w:val="24"/>
        </w:rPr>
        <w:t>Account Title</w:t>
      </w:r>
      <w:r w:rsidRPr="00824BC0">
        <w:rPr>
          <w:rFonts w:ascii="Times New Roman" w:hAnsi="Times New Roman" w:cs="Times New Roman"/>
          <w:i/>
          <w:iCs/>
          <w:sz w:val="24"/>
          <w:szCs w:val="24"/>
        </w:rPr>
        <w:tab/>
      </w:r>
      <w:r w:rsidRPr="00824BC0">
        <w:rPr>
          <w:rFonts w:ascii="Times New Roman" w:hAnsi="Times New Roman" w:cs="Times New Roman"/>
          <w:i/>
          <w:iCs/>
          <w:sz w:val="24"/>
          <w:szCs w:val="24"/>
        </w:rPr>
        <w:tab/>
        <w:t>Proceeds from Insurance/Indemnities</w:t>
      </w:r>
    </w:p>
    <w:p w14:paraId="69445DD1" w14:textId="77777777" w:rsidR="00742B6D" w:rsidRPr="00824BC0" w:rsidRDefault="00742B6D" w:rsidP="00742B6D">
      <w:pPr>
        <w:spacing w:after="0" w:line="240" w:lineRule="auto"/>
        <w:ind w:firstLine="720"/>
        <w:jc w:val="both"/>
        <w:rPr>
          <w:rFonts w:ascii="Times New Roman" w:hAnsi="Times New Roman" w:cs="Times New Roman"/>
          <w:i/>
          <w:iCs/>
          <w:sz w:val="24"/>
          <w:szCs w:val="24"/>
        </w:rPr>
      </w:pPr>
      <w:r w:rsidRPr="00824BC0">
        <w:rPr>
          <w:rFonts w:ascii="Times New Roman" w:hAnsi="Times New Roman" w:cs="Times New Roman"/>
          <w:i/>
          <w:iCs/>
          <w:sz w:val="24"/>
          <w:szCs w:val="24"/>
        </w:rPr>
        <w:t>Account Number</w:t>
      </w:r>
      <w:r w:rsidRPr="00824BC0">
        <w:rPr>
          <w:rFonts w:ascii="Times New Roman" w:hAnsi="Times New Roman" w:cs="Times New Roman"/>
          <w:i/>
          <w:iCs/>
          <w:sz w:val="24"/>
          <w:szCs w:val="24"/>
        </w:rPr>
        <w:tab/>
        <w:t>40609010</w:t>
      </w:r>
    </w:p>
    <w:p w14:paraId="7ED0035F" w14:textId="77777777" w:rsidR="00742B6D" w:rsidRPr="00824BC0" w:rsidRDefault="00742B6D" w:rsidP="00742B6D">
      <w:pPr>
        <w:spacing w:after="0" w:line="240" w:lineRule="auto"/>
        <w:ind w:firstLine="720"/>
        <w:jc w:val="both"/>
        <w:rPr>
          <w:rFonts w:ascii="Times New Roman" w:hAnsi="Times New Roman" w:cs="Times New Roman"/>
          <w:i/>
          <w:iCs/>
          <w:sz w:val="24"/>
          <w:szCs w:val="24"/>
        </w:rPr>
      </w:pPr>
      <w:r w:rsidRPr="00824BC0">
        <w:rPr>
          <w:rFonts w:ascii="Times New Roman" w:hAnsi="Times New Roman" w:cs="Times New Roman"/>
          <w:i/>
          <w:iCs/>
          <w:sz w:val="24"/>
          <w:szCs w:val="24"/>
        </w:rPr>
        <w:t xml:space="preserve">Normal Balance </w:t>
      </w:r>
      <w:r w:rsidRPr="00824BC0">
        <w:rPr>
          <w:rFonts w:ascii="Times New Roman" w:hAnsi="Times New Roman" w:cs="Times New Roman"/>
          <w:i/>
          <w:iCs/>
          <w:sz w:val="24"/>
          <w:szCs w:val="24"/>
        </w:rPr>
        <w:tab/>
        <w:t>Credit</w:t>
      </w:r>
    </w:p>
    <w:p w14:paraId="0D1E5BA9" w14:textId="77777777" w:rsidR="00742B6D" w:rsidRPr="00824BC0" w:rsidRDefault="00742B6D" w:rsidP="0050514F">
      <w:pPr>
        <w:spacing w:after="0" w:line="240" w:lineRule="auto"/>
        <w:ind w:left="2880" w:right="1080" w:hanging="2160"/>
        <w:jc w:val="both"/>
        <w:rPr>
          <w:rFonts w:ascii="Times New Roman" w:hAnsi="Times New Roman" w:cs="Times New Roman"/>
          <w:i/>
          <w:iCs/>
          <w:sz w:val="24"/>
          <w:szCs w:val="24"/>
        </w:rPr>
      </w:pPr>
      <w:r w:rsidRPr="00824BC0">
        <w:rPr>
          <w:rFonts w:ascii="Times New Roman" w:hAnsi="Times New Roman" w:cs="Times New Roman"/>
          <w:i/>
          <w:iCs/>
          <w:sz w:val="24"/>
          <w:szCs w:val="24"/>
        </w:rPr>
        <w:t xml:space="preserve">Description </w:t>
      </w:r>
      <w:r w:rsidRPr="00824BC0">
        <w:rPr>
          <w:rFonts w:ascii="Times New Roman" w:hAnsi="Times New Roman" w:cs="Times New Roman"/>
          <w:i/>
          <w:iCs/>
          <w:sz w:val="24"/>
          <w:szCs w:val="24"/>
        </w:rPr>
        <w:tab/>
        <w:t>This account is used to recognize the proceeds from insurance claims and/or indemnities. This account shall be closed to the Revenue and Expense Summary account.</w:t>
      </w:r>
    </w:p>
    <w:p w14:paraId="60AF1784" w14:textId="77777777" w:rsidR="00742B6D" w:rsidRPr="00824BC0" w:rsidRDefault="00742B6D" w:rsidP="00742B6D">
      <w:pPr>
        <w:spacing w:after="0" w:line="240" w:lineRule="auto"/>
        <w:jc w:val="both"/>
        <w:rPr>
          <w:rFonts w:ascii="Times New Roman" w:hAnsi="Times New Roman" w:cs="Times New Roman"/>
          <w:b/>
          <w:bCs/>
          <w:sz w:val="24"/>
          <w:szCs w:val="24"/>
        </w:rPr>
      </w:pPr>
    </w:p>
    <w:p w14:paraId="38261AD7" w14:textId="77777777" w:rsidR="00742B6D" w:rsidRPr="00824BC0" w:rsidRDefault="00742B6D" w:rsidP="008017C3">
      <w:pPr>
        <w:pStyle w:val="ListParagraph"/>
        <w:numPr>
          <w:ilvl w:val="1"/>
          <w:numId w:val="5"/>
        </w:numPr>
        <w:ind w:left="0" w:firstLine="0"/>
        <w:jc w:val="both"/>
        <w:rPr>
          <w:szCs w:val="24"/>
        </w:rPr>
      </w:pPr>
      <w:r w:rsidRPr="00824BC0">
        <w:rPr>
          <w:szCs w:val="24"/>
        </w:rPr>
        <w:t>The erroneous recognition of various receipts as Liabilities, specifically Other Payables, instead of Revenues resulted in the overstatement of the reported balance of Other Payables by ₱8,805,377.10. Conversely, the following Revenues accounts were understated; viz:</w:t>
      </w:r>
    </w:p>
    <w:p w14:paraId="28E0758F" w14:textId="77777777" w:rsidR="00742B6D" w:rsidRPr="00824BC0" w:rsidRDefault="00742B6D" w:rsidP="00742B6D">
      <w:pPr>
        <w:spacing w:after="0" w:line="240" w:lineRule="auto"/>
        <w:ind w:firstLine="720"/>
        <w:jc w:val="both"/>
        <w:rPr>
          <w:rFonts w:ascii="Times New Roman" w:hAnsi="Times New Roman" w:cs="Times New Roman"/>
          <w:sz w:val="24"/>
          <w:szCs w:val="24"/>
        </w:rPr>
      </w:pPr>
    </w:p>
    <w:tbl>
      <w:tblPr>
        <w:tblStyle w:val="TableGrid"/>
        <w:tblW w:w="8550" w:type="dxa"/>
        <w:tblInd w:w="85" w:type="dxa"/>
        <w:tblLook w:val="04A0" w:firstRow="1" w:lastRow="0" w:firstColumn="1" w:lastColumn="0" w:noHBand="0" w:noVBand="1"/>
      </w:tblPr>
      <w:tblGrid>
        <w:gridCol w:w="5220"/>
        <w:gridCol w:w="3330"/>
      </w:tblGrid>
      <w:tr w:rsidR="00742B6D" w:rsidRPr="00824BC0" w14:paraId="28DEB866" w14:textId="77777777" w:rsidTr="0050514F">
        <w:tc>
          <w:tcPr>
            <w:tcW w:w="5220" w:type="dxa"/>
          </w:tcPr>
          <w:p w14:paraId="460AC56B" w14:textId="77777777" w:rsidR="00742B6D" w:rsidRPr="00824BC0" w:rsidRDefault="00742B6D" w:rsidP="00742B6D">
            <w:pPr>
              <w:jc w:val="center"/>
              <w:rPr>
                <w:rFonts w:ascii="Times New Roman" w:hAnsi="Times New Roman" w:cs="Times New Roman"/>
                <w:b/>
                <w:bCs/>
                <w:sz w:val="24"/>
                <w:szCs w:val="24"/>
              </w:rPr>
            </w:pPr>
            <w:r w:rsidRPr="00824BC0">
              <w:rPr>
                <w:rFonts w:ascii="Times New Roman" w:hAnsi="Times New Roman" w:cs="Times New Roman"/>
                <w:b/>
                <w:bCs/>
                <w:sz w:val="24"/>
                <w:szCs w:val="24"/>
              </w:rPr>
              <w:t>PARTICULARS</w:t>
            </w:r>
          </w:p>
        </w:tc>
        <w:tc>
          <w:tcPr>
            <w:tcW w:w="3330" w:type="dxa"/>
          </w:tcPr>
          <w:p w14:paraId="264464E0" w14:textId="77777777" w:rsidR="00742B6D" w:rsidRPr="00824BC0" w:rsidRDefault="00742B6D" w:rsidP="00742B6D">
            <w:pPr>
              <w:jc w:val="center"/>
              <w:rPr>
                <w:rFonts w:ascii="Times New Roman" w:hAnsi="Times New Roman" w:cs="Times New Roman"/>
                <w:b/>
                <w:bCs/>
                <w:sz w:val="24"/>
                <w:szCs w:val="24"/>
              </w:rPr>
            </w:pPr>
            <w:r w:rsidRPr="00824BC0">
              <w:rPr>
                <w:rFonts w:ascii="Times New Roman" w:hAnsi="Times New Roman" w:cs="Times New Roman"/>
                <w:b/>
                <w:bCs/>
                <w:sz w:val="24"/>
                <w:szCs w:val="24"/>
              </w:rPr>
              <w:t>AMOUNT</w:t>
            </w:r>
          </w:p>
        </w:tc>
      </w:tr>
      <w:tr w:rsidR="00742B6D" w:rsidRPr="00824BC0" w14:paraId="2A1E6D3A" w14:textId="77777777" w:rsidTr="0050514F">
        <w:tc>
          <w:tcPr>
            <w:tcW w:w="5220" w:type="dxa"/>
          </w:tcPr>
          <w:p w14:paraId="0354DE6D" w14:textId="77777777" w:rsidR="00742B6D" w:rsidRPr="00824BC0" w:rsidRDefault="00742B6D" w:rsidP="00742B6D">
            <w:pPr>
              <w:jc w:val="both"/>
              <w:rPr>
                <w:rFonts w:ascii="Times New Roman" w:hAnsi="Times New Roman" w:cs="Times New Roman"/>
                <w:sz w:val="24"/>
                <w:szCs w:val="24"/>
              </w:rPr>
            </w:pPr>
            <w:r w:rsidRPr="00824BC0">
              <w:rPr>
                <w:rFonts w:ascii="Times New Roman" w:hAnsi="Times New Roman" w:cs="Times New Roman"/>
                <w:sz w:val="24"/>
                <w:szCs w:val="24"/>
              </w:rPr>
              <w:t>School Fees</w:t>
            </w:r>
          </w:p>
        </w:tc>
        <w:tc>
          <w:tcPr>
            <w:tcW w:w="3330" w:type="dxa"/>
          </w:tcPr>
          <w:p w14:paraId="69E5A601" w14:textId="77777777" w:rsidR="00742B6D" w:rsidRPr="00824BC0" w:rsidRDefault="00742B6D" w:rsidP="00742B6D">
            <w:pPr>
              <w:jc w:val="right"/>
              <w:rPr>
                <w:rFonts w:ascii="Times New Roman" w:hAnsi="Times New Roman" w:cs="Times New Roman"/>
                <w:sz w:val="24"/>
                <w:szCs w:val="24"/>
              </w:rPr>
            </w:pPr>
            <w:r w:rsidRPr="00824BC0">
              <w:rPr>
                <w:rFonts w:ascii="Times New Roman" w:hAnsi="Times New Roman" w:cs="Times New Roman"/>
                <w:sz w:val="24"/>
                <w:szCs w:val="24"/>
              </w:rPr>
              <w:t xml:space="preserve">₱ 6,232,616.71 </w:t>
            </w:r>
          </w:p>
        </w:tc>
      </w:tr>
      <w:tr w:rsidR="00742B6D" w:rsidRPr="00824BC0" w14:paraId="4E941325" w14:textId="77777777" w:rsidTr="0050514F">
        <w:tc>
          <w:tcPr>
            <w:tcW w:w="5220" w:type="dxa"/>
          </w:tcPr>
          <w:p w14:paraId="6C511406" w14:textId="77777777" w:rsidR="00742B6D" w:rsidRPr="00824BC0" w:rsidRDefault="00742B6D" w:rsidP="00742B6D">
            <w:pPr>
              <w:jc w:val="both"/>
              <w:rPr>
                <w:rFonts w:ascii="Times New Roman" w:hAnsi="Times New Roman" w:cs="Times New Roman"/>
                <w:sz w:val="24"/>
                <w:szCs w:val="24"/>
              </w:rPr>
            </w:pPr>
            <w:r w:rsidRPr="00824BC0">
              <w:rPr>
                <w:rFonts w:ascii="Times New Roman" w:hAnsi="Times New Roman" w:cs="Times New Roman"/>
                <w:sz w:val="24"/>
                <w:szCs w:val="24"/>
              </w:rPr>
              <w:t>Rent/Lease Income</w:t>
            </w:r>
          </w:p>
        </w:tc>
        <w:tc>
          <w:tcPr>
            <w:tcW w:w="3330" w:type="dxa"/>
          </w:tcPr>
          <w:p w14:paraId="7D7A0EBB" w14:textId="77777777" w:rsidR="00742B6D" w:rsidRPr="00824BC0" w:rsidRDefault="00742B6D" w:rsidP="00742B6D">
            <w:pPr>
              <w:jc w:val="right"/>
              <w:rPr>
                <w:rFonts w:ascii="Times New Roman" w:hAnsi="Times New Roman" w:cs="Times New Roman"/>
                <w:sz w:val="24"/>
                <w:szCs w:val="24"/>
              </w:rPr>
            </w:pPr>
            <w:r w:rsidRPr="00824BC0">
              <w:rPr>
                <w:rFonts w:ascii="Times New Roman" w:hAnsi="Times New Roman" w:cs="Times New Roman"/>
                <w:sz w:val="24"/>
                <w:szCs w:val="24"/>
              </w:rPr>
              <w:t xml:space="preserve"> 548,703.96 </w:t>
            </w:r>
          </w:p>
        </w:tc>
      </w:tr>
      <w:tr w:rsidR="00742B6D" w:rsidRPr="00824BC0" w14:paraId="4C66F1D8" w14:textId="77777777" w:rsidTr="0050514F">
        <w:tc>
          <w:tcPr>
            <w:tcW w:w="5220" w:type="dxa"/>
          </w:tcPr>
          <w:p w14:paraId="21AF4BFC" w14:textId="77777777" w:rsidR="00742B6D" w:rsidRPr="00824BC0" w:rsidRDefault="00742B6D" w:rsidP="00742B6D">
            <w:pPr>
              <w:jc w:val="both"/>
              <w:rPr>
                <w:rFonts w:ascii="Times New Roman" w:hAnsi="Times New Roman" w:cs="Times New Roman"/>
                <w:sz w:val="24"/>
                <w:szCs w:val="24"/>
              </w:rPr>
            </w:pPr>
            <w:r w:rsidRPr="00824BC0">
              <w:rPr>
                <w:rFonts w:ascii="Times New Roman" w:hAnsi="Times New Roman" w:cs="Times New Roman"/>
                <w:sz w:val="24"/>
                <w:szCs w:val="24"/>
              </w:rPr>
              <w:t>Sales Revenue</w:t>
            </w:r>
          </w:p>
        </w:tc>
        <w:tc>
          <w:tcPr>
            <w:tcW w:w="3330" w:type="dxa"/>
          </w:tcPr>
          <w:p w14:paraId="5D02B858" w14:textId="77777777" w:rsidR="00742B6D" w:rsidRPr="00824BC0" w:rsidRDefault="00742B6D" w:rsidP="00742B6D">
            <w:pPr>
              <w:jc w:val="right"/>
              <w:rPr>
                <w:rFonts w:ascii="Times New Roman" w:hAnsi="Times New Roman" w:cs="Times New Roman"/>
                <w:sz w:val="24"/>
                <w:szCs w:val="24"/>
              </w:rPr>
            </w:pPr>
            <w:r w:rsidRPr="00824BC0">
              <w:rPr>
                <w:rFonts w:ascii="Times New Roman" w:hAnsi="Times New Roman" w:cs="Times New Roman"/>
                <w:sz w:val="24"/>
                <w:szCs w:val="24"/>
              </w:rPr>
              <w:t xml:space="preserve"> 40,873.20 </w:t>
            </w:r>
          </w:p>
        </w:tc>
      </w:tr>
      <w:tr w:rsidR="00742B6D" w:rsidRPr="00824BC0" w14:paraId="48016809" w14:textId="77777777" w:rsidTr="0050514F">
        <w:tc>
          <w:tcPr>
            <w:tcW w:w="5220" w:type="dxa"/>
          </w:tcPr>
          <w:p w14:paraId="2458B833" w14:textId="77777777" w:rsidR="00742B6D" w:rsidRPr="00824BC0" w:rsidRDefault="00742B6D" w:rsidP="00742B6D">
            <w:pPr>
              <w:jc w:val="both"/>
              <w:rPr>
                <w:rFonts w:ascii="Times New Roman" w:hAnsi="Times New Roman" w:cs="Times New Roman"/>
                <w:sz w:val="24"/>
                <w:szCs w:val="24"/>
              </w:rPr>
            </w:pPr>
            <w:r w:rsidRPr="00824BC0">
              <w:rPr>
                <w:rFonts w:ascii="Times New Roman" w:hAnsi="Times New Roman" w:cs="Times New Roman"/>
                <w:sz w:val="24"/>
                <w:szCs w:val="24"/>
              </w:rPr>
              <w:t>Other Business Income</w:t>
            </w:r>
          </w:p>
        </w:tc>
        <w:tc>
          <w:tcPr>
            <w:tcW w:w="3330" w:type="dxa"/>
          </w:tcPr>
          <w:p w14:paraId="7A9F3000" w14:textId="77777777" w:rsidR="00742B6D" w:rsidRPr="00824BC0" w:rsidRDefault="00742B6D" w:rsidP="00742B6D">
            <w:pPr>
              <w:jc w:val="right"/>
              <w:rPr>
                <w:rFonts w:ascii="Times New Roman" w:hAnsi="Times New Roman" w:cs="Times New Roman"/>
                <w:sz w:val="24"/>
                <w:szCs w:val="24"/>
              </w:rPr>
            </w:pPr>
            <w:r w:rsidRPr="00824BC0">
              <w:rPr>
                <w:rFonts w:ascii="Times New Roman" w:hAnsi="Times New Roman" w:cs="Times New Roman"/>
                <w:sz w:val="24"/>
                <w:szCs w:val="24"/>
              </w:rPr>
              <w:t xml:space="preserve"> 98,028.50 </w:t>
            </w:r>
          </w:p>
        </w:tc>
      </w:tr>
      <w:tr w:rsidR="00742B6D" w:rsidRPr="00824BC0" w14:paraId="3DC7BA72" w14:textId="77777777" w:rsidTr="0050514F">
        <w:tc>
          <w:tcPr>
            <w:tcW w:w="5220" w:type="dxa"/>
          </w:tcPr>
          <w:p w14:paraId="7900FACE" w14:textId="77777777" w:rsidR="00742B6D" w:rsidRPr="00824BC0" w:rsidRDefault="00742B6D" w:rsidP="00742B6D">
            <w:pPr>
              <w:jc w:val="both"/>
              <w:rPr>
                <w:rFonts w:ascii="Times New Roman" w:hAnsi="Times New Roman" w:cs="Times New Roman"/>
                <w:sz w:val="24"/>
                <w:szCs w:val="24"/>
              </w:rPr>
            </w:pPr>
            <w:r w:rsidRPr="00824BC0">
              <w:rPr>
                <w:rFonts w:ascii="Times New Roman" w:hAnsi="Times New Roman" w:cs="Times New Roman"/>
                <w:sz w:val="24"/>
                <w:szCs w:val="24"/>
              </w:rPr>
              <w:t>Gain on Sale of Biological Assets</w:t>
            </w:r>
          </w:p>
        </w:tc>
        <w:tc>
          <w:tcPr>
            <w:tcW w:w="3330" w:type="dxa"/>
          </w:tcPr>
          <w:p w14:paraId="35A2B35D" w14:textId="77777777" w:rsidR="00742B6D" w:rsidRPr="00824BC0" w:rsidRDefault="00742B6D" w:rsidP="00742B6D">
            <w:pPr>
              <w:jc w:val="right"/>
              <w:rPr>
                <w:rFonts w:ascii="Times New Roman" w:hAnsi="Times New Roman" w:cs="Times New Roman"/>
                <w:sz w:val="24"/>
                <w:szCs w:val="24"/>
              </w:rPr>
            </w:pPr>
            <w:r w:rsidRPr="00824BC0">
              <w:rPr>
                <w:rFonts w:ascii="Times New Roman" w:hAnsi="Times New Roman" w:cs="Times New Roman"/>
                <w:sz w:val="24"/>
                <w:szCs w:val="24"/>
              </w:rPr>
              <w:t xml:space="preserve"> 1,190,936.89 </w:t>
            </w:r>
          </w:p>
        </w:tc>
      </w:tr>
      <w:tr w:rsidR="00742B6D" w:rsidRPr="00824BC0" w14:paraId="49B492B5" w14:textId="77777777" w:rsidTr="0050514F">
        <w:tc>
          <w:tcPr>
            <w:tcW w:w="5220" w:type="dxa"/>
          </w:tcPr>
          <w:p w14:paraId="32488214" w14:textId="77777777" w:rsidR="00742B6D" w:rsidRPr="00824BC0" w:rsidRDefault="00742B6D" w:rsidP="00742B6D">
            <w:pPr>
              <w:jc w:val="both"/>
              <w:rPr>
                <w:rFonts w:ascii="Times New Roman" w:hAnsi="Times New Roman" w:cs="Times New Roman"/>
                <w:sz w:val="24"/>
                <w:szCs w:val="24"/>
              </w:rPr>
            </w:pPr>
            <w:r w:rsidRPr="00824BC0">
              <w:rPr>
                <w:rFonts w:ascii="Times New Roman" w:hAnsi="Times New Roman" w:cs="Times New Roman"/>
                <w:sz w:val="24"/>
                <w:szCs w:val="24"/>
              </w:rPr>
              <w:t>Gain on Sale of Agricultural Produce</w:t>
            </w:r>
          </w:p>
        </w:tc>
        <w:tc>
          <w:tcPr>
            <w:tcW w:w="3330" w:type="dxa"/>
          </w:tcPr>
          <w:p w14:paraId="22B30ADD" w14:textId="77777777" w:rsidR="00742B6D" w:rsidRPr="00824BC0" w:rsidRDefault="00742B6D" w:rsidP="00742B6D">
            <w:pPr>
              <w:jc w:val="right"/>
              <w:rPr>
                <w:rFonts w:ascii="Times New Roman" w:hAnsi="Times New Roman" w:cs="Times New Roman"/>
                <w:sz w:val="24"/>
                <w:szCs w:val="24"/>
              </w:rPr>
            </w:pPr>
            <w:r w:rsidRPr="00824BC0">
              <w:rPr>
                <w:rFonts w:ascii="Times New Roman" w:hAnsi="Times New Roman" w:cs="Times New Roman"/>
                <w:sz w:val="24"/>
                <w:szCs w:val="24"/>
              </w:rPr>
              <w:t xml:space="preserve"> 549,551.60 </w:t>
            </w:r>
          </w:p>
        </w:tc>
      </w:tr>
      <w:tr w:rsidR="00742B6D" w:rsidRPr="00824BC0" w14:paraId="20FA3A27" w14:textId="77777777" w:rsidTr="0050514F">
        <w:tc>
          <w:tcPr>
            <w:tcW w:w="5220" w:type="dxa"/>
          </w:tcPr>
          <w:p w14:paraId="2F6CFC1A" w14:textId="77777777" w:rsidR="00742B6D" w:rsidRPr="00824BC0" w:rsidRDefault="00742B6D" w:rsidP="00742B6D">
            <w:pPr>
              <w:jc w:val="both"/>
              <w:rPr>
                <w:rFonts w:ascii="Times New Roman" w:hAnsi="Times New Roman" w:cs="Times New Roman"/>
                <w:sz w:val="24"/>
                <w:szCs w:val="24"/>
              </w:rPr>
            </w:pPr>
            <w:r w:rsidRPr="00824BC0">
              <w:rPr>
                <w:rFonts w:ascii="Times New Roman" w:hAnsi="Times New Roman" w:cs="Times New Roman"/>
                <w:sz w:val="24"/>
                <w:szCs w:val="24"/>
              </w:rPr>
              <w:t>Proceeds from Insurance/Indemnities</w:t>
            </w:r>
          </w:p>
        </w:tc>
        <w:tc>
          <w:tcPr>
            <w:tcW w:w="3330" w:type="dxa"/>
          </w:tcPr>
          <w:p w14:paraId="03103CD4" w14:textId="77777777" w:rsidR="00742B6D" w:rsidRPr="00824BC0" w:rsidRDefault="00742B6D" w:rsidP="00742B6D">
            <w:pPr>
              <w:jc w:val="right"/>
              <w:rPr>
                <w:rFonts w:ascii="Times New Roman" w:hAnsi="Times New Roman" w:cs="Times New Roman"/>
                <w:sz w:val="24"/>
                <w:szCs w:val="24"/>
              </w:rPr>
            </w:pPr>
            <w:r w:rsidRPr="00824BC0">
              <w:rPr>
                <w:rFonts w:ascii="Times New Roman" w:hAnsi="Times New Roman" w:cs="Times New Roman"/>
                <w:sz w:val="24"/>
                <w:szCs w:val="24"/>
              </w:rPr>
              <w:t xml:space="preserve"> 144,666.24 </w:t>
            </w:r>
          </w:p>
        </w:tc>
      </w:tr>
      <w:tr w:rsidR="00742B6D" w:rsidRPr="00824BC0" w14:paraId="18BC3E61" w14:textId="77777777" w:rsidTr="0050514F">
        <w:tc>
          <w:tcPr>
            <w:tcW w:w="5220" w:type="dxa"/>
          </w:tcPr>
          <w:p w14:paraId="3A95B94C" w14:textId="77777777" w:rsidR="00742B6D" w:rsidRPr="00824BC0" w:rsidRDefault="00742B6D" w:rsidP="00742B6D">
            <w:pPr>
              <w:jc w:val="center"/>
              <w:rPr>
                <w:rFonts w:ascii="Times New Roman" w:hAnsi="Times New Roman" w:cs="Times New Roman"/>
                <w:b/>
                <w:bCs/>
                <w:sz w:val="24"/>
                <w:szCs w:val="24"/>
              </w:rPr>
            </w:pPr>
            <w:r w:rsidRPr="00824BC0">
              <w:rPr>
                <w:rFonts w:ascii="Times New Roman" w:hAnsi="Times New Roman" w:cs="Times New Roman"/>
                <w:b/>
                <w:bCs/>
                <w:sz w:val="24"/>
                <w:szCs w:val="24"/>
              </w:rPr>
              <w:t>Total</w:t>
            </w:r>
          </w:p>
        </w:tc>
        <w:tc>
          <w:tcPr>
            <w:tcW w:w="3330" w:type="dxa"/>
          </w:tcPr>
          <w:p w14:paraId="1CF25BE6" w14:textId="77777777" w:rsidR="00742B6D" w:rsidRPr="00824BC0" w:rsidRDefault="00742B6D" w:rsidP="00742B6D">
            <w:pPr>
              <w:jc w:val="right"/>
              <w:rPr>
                <w:rFonts w:ascii="Times New Roman" w:hAnsi="Times New Roman" w:cs="Times New Roman"/>
                <w:b/>
                <w:bCs/>
                <w:sz w:val="24"/>
                <w:szCs w:val="24"/>
              </w:rPr>
            </w:pPr>
            <w:r w:rsidRPr="00824BC0">
              <w:rPr>
                <w:rFonts w:ascii="Times New Roman" w:hAnsi="Times New Roman" w:cs="Times New Roman"/>
                <w:b/>
                <w:bCs/>
                <w:sz w:val="24"/>
                <w:szCs w:val="24"/>
              </w:rPr>
              <w:t xml:space="preserve">  ₱ 8,805,377.10 </w:t>
            </w:r>
          </w:p>
        </w:tc>
      </w:tr>
    </w:tbl>
    <w:p w14:paraId="08B1CF15" w14:textId="77777777" w:rsidR="00742B6D" w:rsidRPr="00824BC0" w:rsidRDefault="00742B6D" w:rsidP="00742B6D">
      <w:pPr>
        <w:spacing w:after="0" w:line="240" w:lineRule="auto"/>
        <w:ind w:firstLine="720"/>
        <w:jc w:val="both"/>
        <w:rPr>
          <w:rFonts w:ascii="Times New Roman" w:hAnsi="Times New Roman" w:cs="Times New Roman"/>
          <w:sz w:val="24"/>
          <w:szCs w:val="24"/>
        </w:rPr>
      </w:pPr>
    </w:p>
    <w:p w14:paraId="34CF12F5" w14:textId="2D7A16F9" w:rsidR="00007D2F" w:rsidRPr="00824BC0" w:rsidRDefault="00742B6D" w:rsidP="008017C3">
      <w:pPr>
        <w:pStyle w:val="ListParagraph"/>
        <w:numPr>
          <w:ilvl w:val="1"/>
          <w:numId w:val="5"/>
        </w:numPr>
        <w:ind w:left="0" w:firstLine="0"/>
        <w:jc w:val="both"/>
        <w:rPr>
          <w:szCs w:val="24"/>
        </w:rPr>
      </w:pPr>
      <w:r w:rsidRPr="00824BC0">
        <w:rPr>
          <w:b/>
          <w:bCs/>
          <w:szCs w:val="24"/>
        </w:rPr>
        <w:t>We recommend</w:t>
      </w:r>
      <w:r w:rsidR="008017C3" w:rsidRPr="00824BC0">
        <w:rPr>
          <w:b/>
          <w:bCs/>
          <w:szCs w:val="24"/>
        </w:rPr>
        <w:t>ed</w:t>
      </w:r>
      <w:r w:rsidRPr="00824BC0">
        <w:rPr>
          <w:b/>
          <w:bCs/>
          <w:szCs w:val="24"/>
        </w:rPr>
        <w:t xml:space="preserve"> </w:t>
      </w:r>
      <w:r w:rsidR="008A485B" w:rsidRPr="00824BC0">
        <w:rPr>
          <w:b/>
          <w:bCs/>
          <w:szCs w:val="24"/>
        </w:rPr>
        <w:t xml:space="preserve">and </w:t>
      </w:r>
      <w:r w:rsidRPr="00824BC0">
        <w:rPr>
          <w:b/>
          <w:bCs/>
          <w:szCs w:val="24"/>
        </w:rPr>
        <w:t xml:space="preserve">Management </w:t>
      </w:r>
      <w:r w:rsidR="008A485B" w:rsidRPr="00824BC0">
        <w:rPr>
          <w:b/>
          <w:bCs/>
          <w:szCs w:val="24"/>
        </w:rPr>
        <w:t xml:space="preserve">agreed to </w:t>
      </w:r>
      <w:r w:rsidRPr="00824BC0">
        <w:rPr>
          <w:b/>
          <w:bCs/>
          <w:szCs w:val="24"/>
        </w:rPr>
        <w:t xml:space="preserve">direct the College Accountant to (a) draw </w:t>
      </w:r>
      <w:r w:rsidR="00700F6D" w:rsidRPr="00824BC0">
        <w:rPr>
          <w:b/>
          <w:bCs/>
          <w:szCs w:val="24"/>
        </w:rPr>
        <w:t xml:space="preserve">a Journal Entry Voucher (JEV) </w:t>
      </w:r>
      <w:r w:rsidRPr="00824BC0">
        <w:rPr>
          <w:b/>
          <w:bCs/>
          <w:szCs w:val="24"/>
        </w:rPr>
        <w:t xml:space="preserve">to correct the recording of various Revenue accounts from Other Payables to the respective Revenue accounts or Accumulated Surplus (Deficit), </w:t>
      </w:r>
      <w:r w:rsidR="00700F6D" w:rsidRPr="00824BC0">
        <w:rPr>
          <w:b/>
          <w:bCs/>
          <w:szCs w:val="24"/>
        </w:rPr>
        <w:t>as</w:t>
      </w:r>
      <w:r w:rsidRPr="00824BC0">
        <w:rPr>
          <w:b/>
          <w:bCs/>
          <w:szCs w:val="24"/>
        </w:rPr>
        <w:t xml:space="preserve"> the case may be; and (b) direct the Accounting personnel to properly recognize transactions by using the accounts prescribed under </w:t>
      </w:r>
      <w:r w:rsidR="00700F6D" w:rsidRPr="00824BC0">
        <w:rPr>
          <w:b/>
          <w:bCs/>
          <w:szCs w:val="24"/>
        </w:rPr>
        <w:t xml:space="preserve">the </w:t>
      </w:r>
      <w:r w:rsidRPr="00824BC0">
        <w:rPr>
          <w:b/>
          <w:bCs/>
          <w:szCs w:val="24"/>
        </w:rPr>
        <w:t>GAM for NGAS, Volume III, thus, ensuring the reliability and accuracy of the reported balances in the financial statements.</w:t>
      </w:r>
    </w:p>
    <w:p w14:paraId="676BCAB0" w14:textId="77777777" w:rsidR="0050514F" w:rsidRPr="00824BC0" w:rsidRDefault="0050514F" w:rsidP="008017C3">
      <w:pPr>
        <w:pStyle w:val="ListParagraph"/>
        <w:ind w:left="0"/>
        <w:jc w:val="both"/>
        <w:rPr>
          <w:b/>
          <w:bCs/>
          <w:szCs w:val="24"/>
        </w:rPr>
      </w:pPr>
    </w:p>
    <w:p w14:paraId="21BCE809" w14:textId="4C39BB87" w:rsidR="008017C3" w:rsidRPr="00824BC0" w:rsidRDefault="008017C3" w:rsidP="008017C3">
      <w:pPr>
        <w:pStyle w:val="ListParagraph"/>
        <w:ind w:left="0"/>
        <w:jc w:val="both"/>
        <w:rPr>
          <w:bCs/>
          <w:i/>
          <w:szCs w:val="24"/>
        </w:rPr>
      </w:pPr>
      <w:r w:rsidRPr="00824BC0">
        <w:rPr>
          <w:bCs/>
          <w:i/>
          <w:szCs w:val="24"/>
        </w:rPr>
        <w:t>Management Comments:</w:t>
      </w:r>
    </w:p>
    <w:p w14:paraId="5DDC0741" w14:textId="77777777" w:rsidR="008017C3" w:rsidRPr="00824BC0" w:rsidRDefault="008017C3" w:rsidP="008017C3">
      <w:pPr>
        <w:pStyle w:val="ListParagraph"/>
        <w:ind w:left="0"/>
        <w:jc w:val="both"/>
        <w:rPr>
          <w:i/>
          <w:szCs w:val="24"/>
        </w:rPr>
      </w:pPr>
    </w:p>
    <w:p w14:paraId="150FFAC5" w14:textId="2DE0380D" w:rsidR="008017C3" w:rsidRPr="00824BC0" w:rsidRDefault="00D005ED" w:rsidP="008017C3">
      <w:pPr>
        <w:pStyle w:val="ListParagraph"/>
        <w:numPr>
          <w:ilvl w:val="1"/>
          <w:numId w:val="5"/>
        </w:numPr>
        <w:ind w:left="0" w:firstLine="0"/>
        <w:jc w:val="both"/>
        <w:rPr>
          <w:szCs w:val="24"/>
        </w:rPr>
      </w:pPr>
      <w:r w:rsidRPr="00824BC0">
        <w:rPr>
          <w:bCs/>
        </w:rPr>
        <w:t>During the exit conference, the College Accountant stated that</w:t>
      </w:r>
      <w:r w:rsidR="00700F6D" w:rsidRPr="00824BC0">
        <w:rPr>
          <w:bCs/>
        </w:rPr>
        <w:t xml:space="preserve"> in</w:t>
      </w:r>
      <w:r w:rsidRPr="00824BC0">
        <w:rPr>
          <w:bCs/>
        </w:rPr>
        <w:t xml:space="preserve"> her analysis, those fees related to school organization, student government council, bidding documents and research journal </w:t>
      </w:r>
      <w:r w:rsidR="00A37EB4" w:rsidRPr="00824BC0">
        <w:rPr>
          <w:bCs/>
        </w:rPr>
        <w:t>should</w:t>
      </w:r>
      <w:r w:rsidRPr="00824BC0">
        <w:rPr>
          <w:bCs/>
        </w:rPr>
        <w:t xml:space="preserve"> be maintained in the Other Payables account</w:t>
      </w:r>
      <w:r w:rsidR="00A37EB4" w:rsidRPr="00824BC0">
        <w:rPr>
          <w:bCs/>
        </w:rPr>
        <w:t xml:space="preserve"> </w:t>
      </w:r>
      <w:bookmarkStart w:id="0" w:name="_Hlk100060116"/>
      <w:r w:rsidR="00700F6D" w:rsidRPr="00824BC0">
        <w:rPr>
          <w:bCs/>
        </w:rPr>
        <w:t>since</w:t>
      </w:r>
      <w:r w:rsidR="00506887">
        <w:rPr>
          <w:bCs/>
        </w:rPr>
        <w:t xml:space="preserve"> the</w:t>
      </w:r>
      <w:r w:rsidR="00700F6D" w:rsidRPr="00824BC0">
        <w:rPr>
          <w:bCs/>
        </w:rPr>
        <w:t xml:space="preserve"> </w:t>
      </w:r>
      <w:r w:rsidR="00A37EB4" w:rsidRPr="00824BC0">
        <w:rPr>
          <w:bCs/>
        </w:rPr>
        <w:t xml:space="preserve">amounts </w:t>
      </w:r>
      <w:r w:rsidR="00700F6D" w:rsidRPr="00824BC0">
        <w:rPr>
          <w:bCs/>
        </w:rPr>
        <w:t xml:space="preserve">are </w:t>
      </w:r>
      <w:r w:rsidR="00A37EB4" w:rsidRPr="00824BC0">
        <w:rPr>
          <w:bCs/>
        </w:rPr>
        <w:t>due to specific entities</w:t>
      </w:r>
      <w:bookmarkEnd w:id="0"/>
      <w:r w:rsidRPr="00824BC0">
        <w:rPr>
          <w:bCs/>
        </w:rPr>
        <w:t xml:space="preserve">. She added that the amount was initially recognized under an Income account once received from CHED. However, the Department of Budget and Management (DBM) noticed that the utilization rate of the income of BASC </w:t>
      </w:r>
      <w:r w:rsidR="00700F6D" w:rsidRPr="00824BC0">
        <w:rPr>
          <w:bCs/>
        </w:rPr>
        <w:t>was</w:t>
      </w:r>
      <w:r w:rsidRPr="00824BC0">
        <w:rPr>
          <w:bCs/>
        </w:rPr>
        <w:t xml:space="preserve"> relatively low during </w:t>
      </w:r>
      <w:r w:rsidRPr="00824BC0">
        <w:rPr>
          <w:bCs/>
        </w:rPr>
        <w:lastRenderedPageBreak/>
        <w:t xml:space="preserve">the pandemic. </w:t>
      </w:r>
      <w:r w:rsidR="00700F6D" w:rsidRPr="00824BC0">
        <w:rPr>
          <w:bCs/>
        </w:rPr>
        <w:t xml:space="preserve">Inasmuch as </w:t>
      </w:r>
      <w:r w:rsidRPr="00824BC0">
        <w:rPr>
          <w:bCs/>
        </w:rPr>
        <w:t xml:space="preserve">the disbursement of these funds depends on the activities as determined by the Student Government of BASC, Management decided to transfer the amount from </w:t>
      </w:r>
      <w:r w:rsidR="00700F6D" w:rsidRPr="00824BC0">
        <w:rPr>
          <w:bCs/>
        </w:rPr>
        <w:t>I</w:t>
      </w:r>
      <w:r w:rsidRPr="00824BC0">
        <w:rPr>
          <w:bCs/>
        </w:rPr>
        <w:t>ncome to the Other Payables account.</w:t>
      </w:r>
    </w:p>
    <w:p w14:paraId="1823D124" w14:textId="77777777" w:rsidR="00D005ED" w:rsidRPr="00824BC0" w:rsidRDefault="00D005ED" w:rsidP="00D005ED">
      <w:pPr>
        <w:pStyle w:val="ListParagraph"/>
        <w:ind w:left="0"/>
        <w:jc w:val="both"/>
        <w:rPr>
          <w:szCs w:val="24"/>
        </w:rPr>
      </w:pPr>
    </w:p>
    <w:p w14:paraId="40956807" w14:textId="2B11D541" w:rsidR="00D005ED" w:rsidRPr="00824BC0" w:rsidRDefault="00D005ED" w:rsidP="008017C3">
      <w:pPr>
        <w:pStyle w:val="ListParagraph"/>
        <w:numPr>
          <w:ilvl w:val="1"/>
          <w:numId w:val="5"/>
        </w:numPr>
        <w:ind w:left="0" w:firstLine="0"/>
        <w:jc w:val="both"/>
        <w:rPr>
          <w:szCs w:val="24"/>
        </w:rPr>
      </w:pPr>
      <w:r w:rsidRPr="00824BC0">
        <w:rPr>
          <w:bCs/>
        </w:rPr>
        <w:t xml:space="preserve">The Audit Team </w:t>
      </w:r>
      <w:bookmarkStart w:id="1" w:name="_Hlk100057864"/>
      <w:r w:rsidRPr="00824BC0">
        <w:rPr>
          <w:bCs/>
        </w:rPr>
        <w:t xml:space="preserve">requested for the submission of a schedule of transactions </w:t>
      </w:r>
      <w:r w:rsidR="00700F6D" w:rsidRPr="00824BC0">
        <w:rPr>
          <w:bCs/>
        </w:rPr>
        <w:t>to</w:t>
      </w:r>
      <w:r w:rsidRPr="00824BC0">
        <w:rPr>
          <w:bCs/>
        </w:rPr>
        <w:t xml:space="preserve"> be adjusted and </w:t>
      </w:r>
      <w:r w:rsidR="00700F6D" w:rsidRPr="00824BC0">
        <w:rPr>
          <w:bCs/>
        </w:rPr>
        <w:t xml:space="preserve">those that </w:t>
      </w:r>
      <w:r w:rsidRPr="00824BC0">
        <w:rPr>
          <w:bCs/>
        </w:rPr>
        <w:t>will remain in the Other Payables account, with corresponding explanation as to their nature and purpose</w:t>
      </w:r>
      <w:bookmarkEnd w:id="1"/>
      <w:r w:rsidR="0011258A">
        <w:rPr>
          <w:bCs/>
        </w:rPr>
        <w:t xml:space="preserve">, for further evaluation. </w:t>
      </w:r>
    </w:p>
    <w:p w14:paraId="4EBA1FCF" w14:textId="77777777" w:rsidR="00D005ED" w:rsidRPr="00824BC0" w:rsidRDefault="00D005ED" w:rsidP="008A485B">
      <w:pPr>
        <w:pStyle w:val="ListParagraph"/>
        <w:ind w:left="0"/>
        <w:jc w:val="both"/>
        <w:rPr>
          <w:i/>
          <w:szCs w:val="24"/>
        </w:rPr>
      </w:pPr>
    </w:p>
    <w:p w14:paraId="2918D634" w14:textId="0175A6A0" w:rsidR="00091572" w:rsidRPr="00824BC0" w:rsidRDefault="00091572" w:rsidP="00091572">
      <w:pPr>
        <w:pStyle w:val="ListParagraph"/>
        <w:ind w:left="0"/>
        <w:jc w:val="both"/>
        <w:rPr>
          <w:szCs w:val="24"/>
        </w:rPr>
      </w:pPr>
    </w:p>
    <w:p w14:paraId="45A49F2C" w14:textId="3C7E7613" w:rsidR="00724259" w:rsidRPr="00824BC0" w:rsidRDefault="00724259" w:rsidP="00724259">
      <w:pPr>
        <w:pStyle w:val="ListParagraph"/>
        <w:ind w:left="0"/>
        <w:jc w:val="both"/>
        <w:rPr>
          <w:b/>
          <w:szCs w:val="24"/>
        </w:rPr>
      </w:pPr>
      <w:r w:rsidRPr="00824BC0">
        <w:rPr>
          <w:b/>
          <w:szCs w:val="24"/>
        </w:rPr>
        <w:t>Compliance Audit</w:t>
      </w:r>
    </w:p>
    <w:p w14:paraId="5A849888" w14:textId="3CBEE2F8" w:rsidR="00724259" w:rsidRPr="00824BC0" w:rsidRDefault="00724259" w:rsidP="00724259">
      <w:pPr>
        <w:pStyle w:val="ListParagraph"/>
        <w:ind w:left="0"/>
        <w:jc w:val="both"/>
        <w:rPr>
          <w:szCs w:val="24"/>
        </w:rPr>
      </w:pPr>
    </w:p>
    <w:p w14:paraId="6BB32E86" w14:textId="7BD410FA" w:rsidR="00724259" w:rsidRPr="00824BC0" w:rsidRDefault="00700F6D" w:rsidP="00724259">
      <w:pPr>
        <w:pStyle w:val="ListParagraph"/>
        <w:numPr>
          <w:ilvl w:val="0"/>
          <w:numId w:val="5"/>
        </w:numPr>
        <w:ind w:left="0" w:firstLine="0"/>
        <w:jc w:val="both"/>
        <w:rPr>
          <w:b/>
          <w:bCs/>
          <w:i/>
          <w:iCs/>
          <w:szCs w:val="24"/>
        </w:rPr>
      </w:pPr>
      <w:r w:rsidRPr="00824BC0">
        <w:rPr>
          <w:b/>
          <w:bCs/>
          <w:i/>
          <w:iCs/>
          <w:szCs w:val="24"/>
        </w:rPr>
        <w:t>The c</w:t>
      </w:r>
      <w:r w:rsidR="00724259" w:rsidRPr="00824BC0">
        <w:rPr>
          <w:b/>
          <w:bCs/>
          <w:i/>
          <w:iCs/>
          <w:szCs w:val="24"/>
        </w:rPr>
        <w:t xml:space="preserve">ollection and </w:t>
      </w:r>
      <w:r w:rsidRPr="00824BC0">
        <w:rPr>
          <w:b/>
          <w:bCs/>
          <w:i/>
          <w:iCs/>
          <w:szCs w:val="24"/>
        </w:rPr>
        <w:t>remittance/</w:t>
      </w:r>
      <w:r w:rsidR="00724259" w:rsidRPr="00824BC0">
        <w:rPr>
          <w:b/>
          <w:bCs/>
          <w:i/>
          <w:iCs/>
          <w:szCs w:val="24"/>
        </w:rPr>
        <w:t>deposit of school fees were not accurately recognized and reported in th</w:t>
      </w:r>
      <w:r w:rsidRPr="00824BC0">
        <w:rPr>
          <w:b/>
          <w:bCs/>
          <w:i/>
          <w:iCs/>
          <w:szCs w:val="24"/>
        </w:rPr>
        <w:t>e</w:t>
      </w:r>
      <w:r w:rsidR="00724259" w:rsidRPr="00824BC0">
        <w:rPr>
          <w:b/>
          <w:bCs/>
          <w:i/>
          <w:iCs/>
          <w:szCs w:val="24"/>
        </w:rPr>
        <w:t xml:space="preserve"> books of accounts due to weak internal control in the handling of cash transactions resulting in a cash shortage</w:t>
      </w:r>
      <w:r w:rsidRPr="00824BC0">
        <w:rPr>
          <w:b/>
          <w:bCs/>
          <w:i/>
          <w:iCs/>
          <w:szCs w:val="24"/>
        </w:rPr>
        <w:t xml:space="preserve"> of</w:t>
      </w:r>
      <w:r w:rsidR="00724259" w:rsidRPr="00824BC0">
        <w:rPr>
          <w:b/>
          <w:bCs/>
          <w:i/>
          <w:iCs/>
          <w:szCs w:val="24"/>
        </w:rPr>
        <w:t xml:space="preserve"> ₱45,</w:t>
      </w:r>
      <w:r w:rsidR="00F875EF" w:rsidRPr="00824BC0">
        <w:rPr>
          <w:b/>
          <w:bCs/>
          <w:i/>
          <w:iCs/>
          <w:szCs w:val="24"/>
        </w:rPr>
        <w:t>05</w:t>
      </w:r>
      <w:r w:rsidR="00724259" w:rsidRPr="00824BC0">
        <w:rPr>
          <w:b/>
          <w:bCs/>
          <w:i/>
          <w:iCs/>
          <w:szCs w:val="24"/>
        </w:rPr>
        <w:t>0.00, which is a departure from Section 105 of Presidential Decree (P</w:t>
      </w:r>
      <w:r w:rsidR="00A54FB3" w:rsidRPr="00824BC0">
        <w:rPr>
          <w:b/>
          <w:bCs/>
          <w:i/>
          <w:iCs/>
          <w:szCs w:val="24"/>
        </w:rPr>
        <w:t>.</w:t>
      </w:r>
      <w:r w:rsidR="00724259" w:rsidRPr="00824BC0">
        <w:rPr>
          <w:b/>
          <w:bCs/>
          <w:i/>
          <w:iCs/>
          <w:szCs w:val="24"/>
        </w:rPr>
        <w:t xml:space="preserve">D.) No. 1445.  </w:t>
      </w:r>
    </w:p>
    <w:p w14:paraId="540CAB30" w14:textId="77777777" w:rsidR="00724259" w:rsidRPr="00824BC0" w:rsidRDefault="00724259" w:rsidP="00724259">
      <w:pPr>
        <w:spacing w:after="0" w:line="240" w:lineRule="auto"/>
        <w:jc w:val="both"/>
        <w:rPr>
          <w:rFonts w:ascii="Times New Roman" w:hAnsi="Times New Roman" w:cs="Times New Roman"/>
          <w:b/>
          <w:bCs/>
          <w:i/>
          <w:iCs/>
          <w:sz w:val="24"/>
          <w:szCs w:val="24"/>
        </w:rPr>
      </w:pPr>
    </w:p>
    <w:p w14:paraId="28BD9002" w14:textId="6BFD8CB6" w:rsidR="00724259" w:rsidRPr="00824BC0" w:rsidRDefault="00724259" w:rsidP="00724259">
      <w:pPr>
        <w:pStyle w:val="ListParagraph"/>
        <w:numPr>
          <w:ilvl w:val="1"/>
          <w:numId w:val="5"/>
        </w:numPr>
        <w:ind w:left="0" w:firstLine="0"/>
        <w:jc w:val="both"/>
        <w:rPr>
          <w:szCs w:val="24"/>
        </w:rPr>
      </w:pPr>
      <w:r w:rsidRPr="00824BC0">
        <w:rPr>
          <w:szCs w:val="24"/>
        </w:rPr>
        <w:t>Section 105 of Presidential Decree (P.D.) No. 1445 states that:</w:t>
      </w:r>
    </w:p>
    <w:p w14:paraId="57EDBA91" w14:textId="77777777" w:rsidR="00724259" w:rsidRPr="00824BC0" w:rsidRDefault="00724259" w:rsidP="00724259">
      <w:pPr>
        <w:spacing w:after="0" w:line="240" w:lineRule="auto"/>
        <w:ind w:firstLine="720"/>
        <w:jc w:val="both"/>
        <w:rPr>
          <w:rFonts w:ascii="Times New Roman" w:hAnsi="Times New Roman" w:cs="Times New Roman"/>
          <w:sz w:val="24"/>
          <w:szCs w:val="24"/>
        </w:rPr>
      </w:pPr>
    </w:p>
    <w:p w14:paraId="02D6F2A4" w14:textId="0B27315B" w:rsidR="00B370E6" w:rsidRPr="00824BC0" w:rsidRDefault="00724259" w:rsidP="00B370E6">
      <w:pPr>
        <w:pStyle w:val="ListParagraph"/>
        <w:numPr>
          <w:ilvl w:val="0"/>
          <w:numId w:val="29"/>
        </w:numPr>
        <w:ind w:left="1134" w:right="1080" w:hanging="425"/>
        <w:jc w:val="both"/>
        <w:rPr>
          <w:i/>
          <w:iCs/>
          <w:szCs w:val="24"/>
        </w:rPr>
      </w:pPr>
      <w:r w:rsidRPr="00824BC0">
        <w:rPr>
          <w:i/>
          <w:iCs/>
          <w:szCs w:val="24"/>
        </w:rPr>
        <w:t xml:space="preserve">Every officer accountable for government property shall be liable for its money value in case of improper or unauthorized use or misapplication thereof, by himself or any person whose acts may be responsible. He shall likewise be liable for all losses, damages, or deterioration occasioned by negligence in the keeping or use of the property, whether or not it be at the time in his actual custody. </w:t>
      </w:r>
    </w:p>
    <w:p w14:paraId="799D373D" w14:textId="77777777" w:rsidR="00B370E6" w:rsidRPr="00824BC0" w:rsidRDefault="00B370E6" w:rsidP="00B370E6">
      <w:pPr>
        <w:pStyle w:val="ListParagraph"/>
        <w:ind w:left="1134" w:right="1080"/>
        <w:jc w:val="both"/>
        <w:rPr>
          <w:i/>
          <w:iCs/>
          <w:szCs w:val="24"/>
        </w:rPr>
      </w:pPr>
    </w:p>
    <w:p w14:paraId="38D532CF" w14:textId="7A4D4EDA" w:rsidR="00724259" w:rsidRPr="00824BC0" w:rsidRDefault="00724259" w:rsidP="00B370E6">
      <w:pPr>
        <w:pStyle w:val="ListParagraph"/>
        <w:numPr>
          <w:ilvl w:val="0"/>
          <w:numId w:val="29"/>
        </w:numPr>
        <w:ind w:left="1134" w:right="1080" w:hanging="425"/>
        <w:jc w:val="both"/>
        <w:rPr>
          <w:i/>
          <w:iCs/>
          <w:szCs w:val="24"/>
        </w:rPr>
      </w:pPr>
      <w:r w:rsidRPr="00824BC0">
        <w:rPr>
          <w:i/>
          <w:iCs/>
          <w:szCs w:val="24"/>
        </w:rPr>
        <w:t xml:space="preserve">Every officer accountable for government   funds shall be liable for all losses resulting from the unlawful deposit, use, or application thereof and for all losses attributable to negligence in the keeping of the funds. </w:t>
      </w:r>
    </w:p>
    <w:p w14:paraId="660AF70E" w14:textId="77777777" w:rsidR="00724259" w:rsidRPr="00824BC0" w:rsidRDefault="00724259" w:rsidP="00724259">
      <w:pPr>
        <w:spacing w:after="0" w:line="240" w:lineRule="auto"/>
        <w:ind w:right="567"/>
        <w:jc w:val="both"/>
        <w:rPr>
          <w:rFonts w:ascii="Times New Roman" w:hAnsi="Times New Roman" w:cs="Times New Roman"/>
          <w:i/>
          <w:iCs/>
          <w:sz w:val="24"/>
          <w:szCs w:val="24"/>
        </w:rPr>
      </w:pPr>
    </w:p>
    <w:p w14:paraId="4DB4B558" w14:textId="29E0C3B5" w:rsidR="00724259" w:rsidRPr="00824BC0" w:rsidRDefault="00724259" w:rsidP="00F875EF">
      <w:pPr>
        <w:pStyle w:val="ListParagraph"/>
        <w:numPr>
          <w:ilvl w:val="1"/>
          <w:numId w:val="5"/>
        </w:numPr>
        <w:ind w:left="0" w:firstLine="0"/>
        <w:jc w:val="both"/>
        <w:rPr>
          <w:szCs w:val="24"/>
        </w:rPr>
      </w:pPr>
      <w:r w:rsidRPr="00824BC0">
        <w:rPr>
          <w:szCs w:val="24"/>
        </w:rPr>
        <w:t xml:space="preserve">On June 16, 2005, </w:t>
      </w:r>
      <w:r w:rsidR="00B370E6" w:rsidRPr="00824BC0">
        <w:rPr>
          <w:szCs w:val="24"/>
        </w:rPr>
        <w:t xml:space="preserve">the </w:t>
      </w:r>
      <w:r w:rsidRPr="00824BC0">
        <w:rPr>
          <w:szCs w:val="24"/>
        </w:rPr>
        <w:t>Bulacan Agricultural State College (BASC) entered</w:t>
      </w:r>
      <w:r w:rsidR="0011258A">
        <w:rPr>
          <w:szCs w:val="24"/>
        </w:rPr>
        <w:t xml:space="preserve"> into</w:t>
      </w:r>
      <w:r w:rsidRPr="00824BC0">
        <w:rPr>
          <w:szCs w:val="24"/>
        </w:rPr>
        <w:t xml:space="preserve"> a Contract of Service with Prince Technologies Corporation in purchasing an Integrated Online School System with an Enrollment/Registration System Module that allows the software user to accept payment fr</w:t>
      </w:r>
      <w:r w:rsidR="00B370E6" w:rsidRPr="00824BC0">
        <w:rPr>
          <w:szCs w:val="24"/>
        </w:rPr>
        <w:t>om</w:t>
      </w:r>
      <w:r w:rsidRPr="00824BC0">
        <w:rPr>
          <w:szCs w:val="24"/>
        </w:rPr>
        <w:t xml:space="preserve"> students, employees, and other miscellaneous payment transactions and </w:t>
      </w:r>
      <w:r w:rsidR="00B370E6" w:rsidRPr="00824BC0">
        <w:rPr>
          <w:szCs w:val="24"/>
        </w:rPr>
        <w:t xml:space="preserve">generate </w:t>
      </w:r>
      <w:r w:rsidRPr="00824BC0">
        <w:rPr>
          <w:szCs w:val="24"/>
        </w:rPr>
        <w:t>reports. Since then, either a manual or electronic Official Receipt (OR) was issued by BASC to recognize</w:t>
      </w:r>
      <w:r w:rsidR="00B370E6" w:rsidRPr="00824BC0">
        <w:rPr>
          <w:szCs w:val="24"/>
        </w:rPr>
        <w:t xml:space="preserve"> the</w:t>
      </w:r>
      <w:r w:rsidRPr="00824BC0">
        <w:rPr>
          <w:szCs w:val="24"/>
        </w:rPr>
        <w:t xml:space="preserve"> collection of fees from</w:t>
      </w:r>
      <w:r w:rsidR="00B370E6" w:rsidRPr="00824BC0">
        <w:rPr>
          <w:szCs w:val="24"/>
        </w:rPr>
        <w:t xml:space="preserve"> the </w:t>
      </w:r>
      <w:r w:rsidRPr="00824BC0">
        <w:rPr>
          <w:szCs w:val="24"/>
        </w:rPr>
        <w:t>students.</w:t>
      </w:r>
    </w:p>
    <w:p w14:paraId="289DC1F8" w14:textId="77777777" w:rsidR="00724259" w:rsidRPr="00824BC0" w:rsidRDefault="00724259" w:rsidP="00724259">
      <w:pPr>
        <w:spacing w:after="0" w:line="240" w:lineRule="auto"/>
        <w:ind w:right="567" w:firstLine="720"/>
        <w:jc w:val="both"/>
        <w:rPr>
          <w:rFonts w:ascii="Times New Roman" w:hAnsi="Times New Roman" w:cs="Times New Roman"/>
          <w:sz w:val="24"/>
          <w:szCs w:val="24"/>
        </w:rPr>
      </w:pPr>
      <w:r w:rsidRPr="00824BC0">
        <w:rPr>
          <w:rFonts w:ascii="Times New Roman" w:hAnsi="Times New Roman" w:cs="Times New Roman"/>
          <w:sz w:val="24"/>
          <w:szCs w:val="24"/>
        </w:rPr>
        <w:t xml:space="preserve"> </w:t>
      </w:r>
    </w:p>
    <w:p w14:paraId="47270822" w14:textId="6994F728" w:rsidR="00724259" w:rsidRPr="00824BC0" w:rsidRDefault="00724259" w:rsidP="00F875EF">
      <w:pPr>
        <w:pStyle w:val="ListParagraph"/>
        <w:numPr>
          <w:ilvl w:val="1"/>
          <w:numId w:val="5"/>
        </w:numPr>
        <w:ind w:left="0" w:firstLine="0"/>
        <w:jc w:val="both"/>
        <w:rPr>
          <w:szCs w:val="24"/>
        </w:rPr>
      </w:pPr>
      <w:r w:rsidRPr="00824BC0">
        <w:rPr>
          <w:szCs w:val="24"/>
        </w:rPr>
        <w:t xml:space="preserve">The Audit Team conducted a cash examination on the accounts of </w:t>
      </w:r>
      <w:r w:rsidR="00B370E6" w:rsidRPr="00824BC0">
        <w:rPr>
          <w:szCs w:val="24"/>
        </w:rPr>
        <w:t xml:space="preserve">the </w:t>
      </w:r>
      <w:r w:rsidRPr="00824BC0">
        <w:rPr>
          <w:szCs w:val="24"/>
        </w:rPr>
        <w:t>Cashier and designated Special Disbursing Officer (SDO) and Petty Cash Fund (PCF) Custodian on June 29, 2021.  A thorough examination of collections and deposits under her accountability for the period covered September 4, 2020 to June 29, 2021 revealed a cash shortage of ₱100,260.00. A demand letter was issued by the Auditor directing the accountable officer (AO) to immediately produce the amount and submit a written explanation as to why the cash shortage occurred.</w:t>
      </w:r>
    </w:p>
    <w:p w14:paraId="3F6FCD4E" w14:textId="77777777" w:rsidR="00724259" w:rsidRPr="00824BC0" w:rsidRDefault="00724259" w:rsidP="00724259">
      <w:pPr>
        <w:spacing w:after="0" w:line="240" w:lineRule="auto"/>
        <w:jc w:val="both"/>
        <w:rPr>
          <w:rFonts w:ascii="Times New Roman" w:hAnsi="Times New Roman" w:cs="Times New Roman"/>
          <w:sz w:val="24"/>
          <w:szCs w:val="24"/>
        </w:rPr>
      </w:pPr>
    </w:p>
    <w:p w14:paraId="3F23F1B8" w14:textId="775771FD" w:rsidR="00724259" w:rsidRPr="00824BC0" w:rsidRDefault="00724259" w:rsidP="00F875EF">
      <w:pPr>
        <w:pStyle w:val="ListParagraph"/>
        <w:numPr>
          <w:ilvl w:val="1"/>
          <w:numId w:val="5"/>
        </w:numPr>
        <w:ind w:left="0" w:firstLine="0"/>
        <w:jc w:val="both"/>
        <w:rPr>
          <w:szCs w:val="24"/>
        </w:rPr>
      </w:pPr>
      <w:r w:rsidRPr="00824BC0">
        <w:rPr>
          <w:szCs w:val="24"/>
        </w:rPr>
        <w:lastRenderedPageBreak/>
        <w:t>In her letter dated September 24, 2021, the AO denied any knowledge and involvement with the deficiencies uncovered in the audit. According to her, the cash shortage transpired during the enrollment period of post-graduate courses which was held on Saturday and Sunday, when her two staff were the ones tasked with the collection of fees and issuance of ORs in her absence. The AO admitted that there were lapses on her part as she signed the Detailed Collection Reports</w:t>
      </w:r>
      <w:r w:rsidR="00B370E6" w:rsidRPr="00824BC0">
        <w:rPr>
          <w:szCs w:val="24"/>
        </w:rPr>
        <w:t xml:space="preserve"> (DCR)</w:t>
      </w:r>
      <w:r w:rsidRPr="00824BC0">
        <w:rPr>
          <w:szCs w:val="24"/>
        </w:rPr>
        <w:t>, which were allegedly prepared by her staff, without reviewing the correctness of its contents. The AO claimed that she signed the collection report out of trust to her staff.  Eventually, the AO settled the cash shortage as evidenced by OR No. 9204356 dated September 28, 2021 with an Addendum stating that her two staff contributed their share in the amount refunded.  The staff were also relieved of their duties as designated collecting officers.</w:t>
      </w:r>
    </w:p>
    <w:p w14:paraId="60FCE527" w14:textId="77777777" w:rsidR="00724259" w:rsidRPr="00824BC0" w:rsidRDefault="00724259" w:rsidP="00724259">
      <w:pPr>
        <w:spacing w:after="0" w:line="240" w:lineRule="auto"/>
        <w:jc w:val="both"/>
        <w:rPr>
          <w:rFonts w:ascii="Times New Roman" w:hAnsi="Times New Roman" w:cs="Times New Roman"/>
          <w:sz w:val="24"/>
          <w:szCs w:val="24"/>
        </w:rPr>
      </w:pPr>
    </w:p>
    <w:p w14:paraId="60EFE3AE" w14:textId="4FA30F53" w:rsidR="00724259" w:rsidRPr="00824BC0" w:rsidRDefault="0011258A" w:rsidP="00F875EF">
      <w:pPr>
        <w:pStyle w:val="ListParagraph"/>
        <w:numPr>
          <w:ilvl w:val="1"/>
          <w:numId w:val="5"/>
        </w:numPr>
        <w:ind w:left="0" w:firstLine="0"/>
        <w:jc w:val="both"/>
        <w:rPr>
          <w:szCs w:val="24"/>
        </w:rPr>
      </w:pPr>
      <w:r>
        <w:rPr>
          <w:szCs w:val="24"/>
        </w:rPr>
        <w:t>Obviously</w:t>
      </w:r>
      <w:r w:rsidR="00724259" w:rsidRPr="00824BC0">
        <w:rPr>
          <w:szCs w:val="24"/>
        </w:rPr>
        <w:t xml:space="preserve">, the Cashier failed to exercise the required diligence under the circumstances. As an AO, she is vested with the duty to be vigilant and uncompromising in protecting the interests of BASC. She </w:t>
      </w:r>
      <w:r w:rsidR="00B370E6" w:rsidRPr="00824BC0">
        <w:rPr>
          <w:szCs w:val="24"/>
        </w:rPr>
        <w:t>should</w:t>
      </w:r>
      <w:r w:rsidR="00724259" w:rsidRPr="00824BC0">
        <w:rPr>
          <w:szCs w:val="24"/>
        </w:rPr>
        <w:t xml:space="preserve"> have checked all the monies collected by the College, verified that the same was deposited intact and ensure</w:t>
      </w:r>
      <w:r w:rsidR="00C6257F">
        <w:rPr>
          <w:szCs w:val="24"/>
        </w:rPr>
        <w:t>d</w:t>
      </w:r>
      <w:r w:rsidR="00724259" w:rsidRPr="00824BC0">
        <w:rPr>
          <w:szCs w:val="24"/>
        </w:rPr>
        <w:t xml:space="preserve"> that all the details in the DCR are correct as to amounts before affixing her signature. The AO, who was evidently heedless in doing her job, cannot now deny </w:t>
      </w:r>
      <w:r w:rsidR="00B370E6" w:rsidRPr="00824BC0">
        <w:rPr>
          <w:szCs w:val="24"/>
        </w:rPr>
        <w:t>her</w:t>
      </w:r>
      <w:r w:rsidR="00724259" w:rsidRPr="00824BC0">
        <w:rPr>
          <w:szCs w:val="24"/>
        </w:rPr>
        <w:t xml:space="preserve"> responsibility for the resulting lapses by putting the blame on another person. </w:t>
      </w:r>
    </w:p>
    <w:p w14:paraId="6DFE743B" w14:textId="77777777" w:rsidR="00724259" w:rsidRPr="00824BC0" w:rsidRDefault="00724259" w:rsidP="00724259">
      <w:pPr>
        <w:spacing w:after="0" w:line="240" w:lineRule="auto"/>
        <w:jc w:val="both"/>
        <w:rPr>
          <w:rFonts w:ascii="Times New Roman" w:hAnsi="Times New Roman" w:cs="Times New Roman"/>
          <w:sz w:val="24"/>
          <w:szCs w:val="24"/>
        </w:rPr>
      </w:pPr>
    </w:p>
    <w:p w14:paraId="55BDFC76" w14:textId="77777777" w:rsidR="00724259" w:rsidRPr="00824BC0" w:rsidRDefault="00724259" w:rsidP="00F875EF">
      <w:pPr>
        <w:pStyle w:val="ListParagraph"/>
        <w:numPr>
          <w:ilvl w:val="1"/>
          <w:numId w:val="5"/>
        </w:numPr>
        <w:ind w:left="0" w:firstLine="0"/>
        <w:jc w:val="both"/>
        <w:rPr>
          <w:szCs w:val="24"/>
        </w:rPr>
      </w:pPr>
      <w:r w:rsidRPr="00824BC0">
        <w:rPr>
          <w:szCs w:val="24"/>
        </w:rPr>
        <w:t>Review of the Financial Statements (FS) of the College for CY 2021 disclosed a year-end balance of ₱23,770.00 for the Cash - Collecting Officer account. The Notes to Financial Statements (NFS) pertaining to the account provides that:</w:t>
      </w:r>
    </w:p>
    <w:p w14:paraId="748B0C9C" w14:textId="77777777" w:rsidR="00724259" w:rsidRPr="00824BC0" w:rsidRDefault="00724259" w:rsidP="00724259">
      <w:pPr>
        <w:spacing w:after="0" w:line="240" w:lineRule="auto"/>
        <w:ind w:right="567" w:firstLine="720"/>
        <w:jc w:val="both"/>
        <w:rPr>
          <w:rFonts w:ascii="Times New Roman" w:hAnsi="Times New Roman" w:cs="Times New Roman"/>
          <w:sz w:val="24"/>
          <w:szCs w:val="24"/>
        </w:rPr>
      </w:pPr>
    </w:p>
    <w:p w14:paraId="156FC365" w14:textId="20A886F4" w:rsidR="00724259" w:rsidRPr="00824BC0" w:rsidRDefault="00724259" w:rsidP="0050514F">
      <w:pPr>
        <w:autoSpaceDE w:val="0"/>
        <w:autoSpaceDN w:val="0"/>
        <w:adjustRightInd w:val="0"/>
        <w:spacing w:after="0" w:line="240" w:lineRule="auto"/>
        <w:ind w:left="720" w:right="1080"/>
        <w:jc w:val="both"/>
        <w:rPr>
          <w:rFonts w:ascii="Times New Roman" w:hAnsi="Times New Roman" w:cs="Times New Roman"/>
          <w:bCs/>
          <w:i/>
          <w:iCs/>
          <w:sz w:val="24"/>
          <w:szCs w:val="24"/>
          <w:lang w:eastAsia="en-PH"/>
        </w:rPr>
      </w:pPr>
      <w:r w:rsidRPr="00824BC0">
        <w:rPr>
          <w:rFonts w:ascii="Times New Roman" w:hAnsi="Times New Roman" w:cs="Times New Roman"/>
          <w:bCs/>
          <w:i/>
          <w:iCs/>
          <w:sz w:val="24"/>
          <w:szCs w:val="24"/>
          <w:lang w:eastAsia="en-PH"/>
        </w:rPr>
        <w:t>The Collecting Officer</w:t>
      </w:r>
      <w:r w:rsidR="00B370E6" w:rsidRPr="00824BC0">
        <w:rPr>
          <w:rFonts w:ascii="Times New Roman" w:hAnsi="Times New Roman" w:cs="Times New Roman"/>
          <w:bCs/>
          <w:i/>
          <w:iCs/>
          <w:sz w:val="24"/>
          <w:szCs w:val="24"/>
          <w:lang w:eastAsia="en-PH"/>
        </w:rPr>
        <w:t xml:space="preserve"> </w:t>
      </w:r>
      <w:r w:rsidRPr="00824BC0">
        <w:rPr>
          <w:rFonts w:ascii="Times New Roman" w:hAnsi="Times New Roman" w:cs="Times New Roman"/>
          <w:bCs/>
          <w:i/>
          <w:iCs/>
          <w:sz w:val="24"/>
          <w:szCs w:val="24"/>
          <w:lang w:eastAsia="en-PH"/>
        </w:rPr>
        <w:t>had undeposited collections as of December 31, 2021 amounting to ₱23,770.00 which originated since June 2021 collections and not reflected in their report of collections.</w:t>
      </w:r>
    </w:p>
    <w:p w14:paraId="7BA7C3F1" w14:textId="77777777" w:rsidR="00724259" w:rsidRPr="00824BC0" w:rsidRDefault="00724259" w:rsidP="00724259">
      <w:pPr>
        <w:spacing w:after="0" w:line="240" w:lineRule="auto"/>
        <w:jc w:val="both"/>
        <w:rPr>
          <w:rFonts w:ascii="Times New Roman" w:hAnsi="Times New Roman" w:cs="Times New Roman"/>
          <w:sz w:val="24"/>
          <w:szCs w:val="24"/>
        </w:rPr>
      </w:pPr>
    </w:p>
    <w:p w14:paraId="6E14F4FA" w14:textId="77777777" w:rsidR="00724259" w:rsidRPr="00824BC0" w:rsidRDefault="00724259" w:rsidP="00F875EF">
      <w:pPr>
        <w:pStyle w:val="ListParagraph"/>
        <w:numPr>
          <w:ilvl w:val="1"/>
          <w:numId w:val="5"/>
        </w:numPr>
        <w:ind w:left="0" w:firstLine="0"/>
        <w:jc w:val="both"/>
        <w:rPr>
          <w:szCs w:val="24"/>
        </w:rPr>
      </w:pPr>
      <w:r w:rsidRPr="00824BC0">
        <w:rPr>
          <w:szCs w:val="24"/>
        </w:rPr>
        <w:t xml:space="preserve">Notwithstanding, the Audit Team noted that the balance per accounting records did not reconcile with that of the Cashier’s. As of December 31, 2021, the DCR of the Cashier showed that the undeposited collections only amounted to ₱170.00. </w:t>
      </w:r>
    </w:p>
    <w:p w14:paraId="3507018C" w14:textId="77777777" w:rsidR="00724259" w:rsidRPr="00824BC0" w:rsidRDefault="00724259" w:rsidP="00724259">
      <w:pPr>
        <w:spacing w:after="0" w:line="240" w:lineRule="auto"/>
        <w:ind w:firstLine="720"/>
        <w:jc w:val="both"/>
        <w:rPr>
          <w:rFonts w:ascii="Times New Roman" w:hAnsi="Times New Roman" w:cs="Times New Roman"/>
          <w:sz w:val="24"/>
          <w:szCs w:val="24"/>
        </w:rPr>
      </w:pPr>
    </w:p>
    <w:p w14:paraId="68D332E5" w14:textId="2994482E" w:rsidR="00724259" w:rsidRPr="00824BC0" w:rsidRDefault="00B370E6" w:rsidP="00F875EF">
      <w:pPr>
        <w:pStyle w:val="ListParagraph"/>
        <w:numPr>
          <w:ilvl w:val="1"/>
          <w:numId w:val="5"/>
        </w:numPr>
        <w:ind w:left="0" w:firstLine="0"/>
        <w:jc w:val="both"/>
        <w:rPr>
          <w:szCs w:val="24"/>
        </w:rPr>
      </w:pPr>
      <w:r w:rsidRPr="00824BC0">
        <w:rPr>
          <w:szCs w:val="24"/>
        </w:rPr>
        <w:t xml:space="preserve">To </w:t>
      </w:r>
      <w:r w:rsidR="00724259" w:rsidRPr="00824BC0">
        <w:rPr>
          <w:szCs w:val="24"/>
        </w:rPr>
        <w:t>verify the amount of shortage in the accounts of the AO, the Audit Team performed vouching, tracing and analysis of relevant documents and arrived at a total shortage of ₱45,0</w:t>
      </w:r>
      <w:r w:rsidR="00F875EF" w:rsidRPr="00824BC0">
        <w:rPr>
          <w:szCs w:val="24"/>
        </w:rPr>
        <w:t>5</w:t>
      </w:r>
      <w:r w:rsidR="00724259" w:rsidRPr="00824BC0">
        <w:rPr>
          <w:szCs w:val="24"/>
        </w:rPr>
        <w:t>0.00. This is in addition to the shortage that was previously discovered during cash examination and subsequently restituted by the AO amounting to ₱100,260.00. The detailed computation is shown in Appendix</w:t>
      </w:r>
      <w:r w:rsidR="00F875EF" w:rsidRPr="00824BC0">
        <w:rPr>
          <w:szCs w:val="24"/>
        </w:rPr>
        <w:t xml:space="preserve"> E</w:t>
      </w:r>
      <w:r w:rsidR="00724259" w:rsidRPr="00824BC0">
        <w:rPr>
          <w:szCs w:val="24"/>
        </w:rPr>
        <w:t>.</w:t>
      </w:r>
      <w:r w:rsidR="00724259" w:rsidRPr="00824BC0">
        <w:rPr>
          <w:b/>
          <w:bCs/>
          <w:szCs w:val="24"/>
        </w:rPr>
        <w:t xml:space="preserve"> </w:t>
      </w:r>
    </w:p>
    <w:p w14:paraId="6F82FB89" w14:textId="0B2D682C" w:rsidR="00F875EF" w:rsidRPr="00824BC0" w:rsidRDefault="00F875EF" w:rsidP="00F875EF">
      <w:pPr>
        <w:pStyle w:val="ListParagraph"/>
        <w:ind w:left="0"/>
        <w:jc w:val="both"/>
        <w:rPr>
          <w:szCs w:val="24"/>
        </w:rPr>
      </w:pPr>
    </w:p>
    <w:p w14:paraId="09546FA2" w14:textId="77777777" w:rsidR="00724259" w:rsidRPr="00824BC0" w:rsidRDefault="00724259" w:rsidP="00F875EF">
      <w:pPr>
        <w:pStyle w:val="ListParagraph"/>
        <w:numPr>
          <w:ilvl w:val="1"/>
          <w:numId w:val="5"/>
        </w:numPr>
        <w:ind w:left="0" w:firstLine="0"/>
        <w:jc w:val="both"/>
        <w:rPr>
          <w:szCs w:val="24"/>
        </w:rPr>
      </w:pPr>
      <w:r w:rsidRPr="00824BC0">
        <w:rPr>
          <w:szCs w:val="24"/>
        </w:rPr>
        <w:t>Scrutiny of the DCR of the Cashier for CY 2021 revealed that the following series of ORs were not reflected in their respective reports:</w:t>
      </w:r>
    </w:p>
    <w:p w14:paraId="074B57AC" w14:textId="77777777" w:rsidR="00724259" w:rsidRPr="00824BC0" w:rsidRDefault="00724259" w:rsidP="00724259">
      <w:pPr>
        <w:pStyle w:val="ListParagraph"/>
        <w:ind w:left="1080"/>
        <w:jc w:val="both"/>
        <w:rPr>
          <w:szCs w:val="24"/>
        </w:rPr>
      </w:pPr>
    </w:p>
    <w:tbl>
      <w:tblPr>
        <w:tblW w:w="8640" w:type="dxa"/>
        <w:tblInd w:w="-5" w:type="dxa"/>
        <w:tblLook w:val="04A0" w:firstRow="1" w:lastRow="0" w:firstColumn="1" w:lastColumn="0" w:noHBand="0" w:noVBand="1"/>
      </w:tblPr>
      <w:tblGrid>
        <w:gridCol w:w="4140"/>
        <w:gridCol w:w="2340"/>
        <w:gridCol w:w="2160"/>
      </w:tblGrid>
      <w:tr w:rsidR="00724259" w:rsidRPr="00824BC0" w14:paraId="28223525" w14:textId="77777777" w:rsidTr="000D6661">
        <w:trPr>
          <w:trHeight w:val="251"/>
          <w:tblHeader/>
        </w:trPr>
        <w:tc>
          <w:tcPr>
            <w:tcW w:w="4140" w:type="dxa"/>
            <w:tcBorders>
              <w:top w:val="single" w:sz="4" w:space="0" w:color="auto"/>
              <w:left w:val="single" w:sz="4" w:space="0" w:color="auto"/>
              <w:bottom w:val="single" w:sz="4" w:space="0" w:color="auto"/>
              <w:right w:val="single" w:sz="4" w:space="0" w:color="auto"/>
            </w:tcBorders>
          </w:tcPr>
          <w:p w14:paraId="706F0F56" w14:textId="77777777" w:rsidR="00724259" w:rsidRPr="00824BC0" w:rsidRDefault="00724259" w:rsidP="00724259">
            <w:pPr>
              <w:spacing w:after="0" w:line="240" w:lineRule="auto"/>
              <w:jc w:val="center"/>
              <w:rPr>
                <w:rFonts w:ascii="Times New Roman" w:hAnsi="Times New Roman" w:cs="Times New Roman"/>
                <w:b/>
                <w:bCs/>
                <w:sz w:val="24"/>
                <w:szCs w:val="24"/>
                <w:lang w:eastAsia="en-PH"/>
              </w:rPr>
            </w:pPr>
            <w:r w:rsidRPr="00824BC0">
              <w:rPr>
                <w:rFonts w:ascii="Times New Roman" w:hAnsi="Times New Roman" w:cs="Times New Roman"/>
                <w:b/>
                <w:bCs/>
                <w:sz w:val="24"/>
                <w:szCs w:val="24"/>
                <w:lang w:eastAsia="en-PH"/>
              </w:rPr>
              <w:t>Report</w:t>
            </w:r>
          </w:p>
        </w:tc>
        <w:tc>
          <w:tcPr>
            <w:tcW w:w="2340" w:type="dxa"/>
            <w:tcBorders>
              <w:top w:val="single" w:sz="4" w:space="0" w:color="auto"/>
              <w:left w:val="single" w:sz="4" w:space="0" w:color="auto"/>
              <w:bottom w:val="single" w:sz="4" w:space="0" w:color="auto"/>
              <w:right w:val="single" w:sz="4" w:space="0" w:color="auto"/>
            </w:tcBorders>
            <w:shd w:val="clear" w:color="auto" w:fill="auto"/>
            <w:noWrap/>
            <w:hideMark/>
          </w:tcPr>
          <w:p w14:paraId="6FAC5CBC" w14:textId="77777777" w:rsidR="00724259" w:rsidRPr="00824BC0" w:rsidRDefault="00724259" w:rsidP="00724259">
            <w:pPr>
              <w:spacing w:after="0" w:line="240" w:lineRule="auto"/>
              <w:jc w:val="center"/>
              <w:rPr>
                <w:rFonts w:ascii="Times New Roman" w:hAnsi="Times New Roman" w:cs="Times New Roman"/>
                <w:b/>
                <w:bCs/>
                <w:sz w:val="24"/>
                <w:szCs w:val="24"/>
                <w:lang w:eastAsia="en-PH"/>
              </w:rPr>
            </w:pPr>
            <w:r w:rsidRPr="00824BC0">
              <w:rPr>
                <w:rFonts w:ascii="Times New Roman" w:hAnsi="Times New Roman" w:cs="Times New Roman"/>
                <w:b/>
                <w:bCs/>
                <w:sz w:val="24"/>
                <w:szCs w:val="24"/>
                <w:lang w:eastAsia="en-PH"/>
              </w:rPr>
              <w:t xml:space="preserve">Official Receipt No. </w:t>
            </w:r>
          </w:p>
        </w:tc>
        <w:tc>
          <w:tcPr>
            <w:tcW w:w="2160" w:type="dxa"/>
            <w:tcBorders>
              <w:top w:val="single" w:sz="4" w:space="0" w:color="auto"/>
              <w:left w:val="nil"/>
              <w:bottom w:val="single" w:sz="4" w:space="0" w:color="auto"/>
              <w:right w:val="single" w:sz="4" w:space="0" w:color="auto"/>
            </w:tcBorders>
            <w:shd w:val="clear" w:color="auto" w:fill="auto"/>
            <w:noWrap/>
            <w:hideMark/>
          </w:tcPr>
          <w:p w14:paraId="426E9A4C" w14:textId="77777777" w:rsidR="00724259" w:rsidRPr="00824BC0" w:rsidRDefault="00724259" w:rsidP="00724259">
            <w:pPr>
              <w:spacing w:after="0" w:line="240" w:lineRule="auto"/>
              <w:jc w:val="center"/>
              <w:rPr>
                <w:rFonts w:ascii="Times New Roman" w:hAnsi="Times New Roman" w:cs="Times New Roman"/>
                <w:b/>
                <w:bCs/>
                <w:sz w:val="24"/>
                <w:szCs w:val="24"/>
                <w:lang w:eastAsia="en-PH"/>
              </w:rPr>
            </w:pPr>
            <w:r w:rsidRPr="00824BC0">
              <w:rPr>
                <w:rFonts w:ascii="Times New Roman" w:hAnsi="Times New Roman" w:cs="Times New Roman"/>
                <w:b/>
                <w:bCs/>
                <w:sz w:val="24"/>
                <w:szCs w:val="24"/>
                <w:lang w:eastAsia="en-PH"/>
              </w:rPr>
              <w:t xml:space="preserve"> Amount  </w:t>
            </w:r>
          </w:p>
        </w:tc>
      </w:tr>
      <w:tr w:rsidR="00724259" w:rsidRPr="00824BC0" w14:paraId="1160335D" w14:textId="77777777" w:rsidTr="000D6661">
        <w:trPr>
          <w:trHeight w:val="255"/>
        </w:trPr>
        <w:tc>
          <w:tcPr>
            <w:tcW w:w="4140" w:type="dxa"/>
            <w:vMerge w:val="restart"/>
            <w:tcBorders>
              <w:top w:val="single" w:sz="4" w:space="0" w:color="auto"/>
              <w:left w:val="single" w:sz="4" w:space="0" w:color="auto"/>
              <w:bottom w:val="single" w:sz="4" w:space="0" w:color="auto"/>
              <w:right w:val="single" w:sz="4" w:space="0" w:color="auto"/>
            </w:tcBorders>
            <w:vAlign w:val="center"/>
          </w:tcPr>
          <w:p w14:paraId="435D969F" w14:textId="77777777" w:rsidR="00724259" w:rsidRPr="00824BC0" w:rsidRDefault="00724259" w:rsidP="00724259">
            <w:pPr>
              <w:spacing w:after="0" w:line="240" w:lineRule="auto"/>
              <w:jc w:val="center"/>
              <w:rPr>
                <w:rFonts w:ascii="Times New Roman" w:hAnsi="Times New Roman" w:cs="Times New Roman"/>
                <w:b/>
                <w:bCs/>
                <w:sz w:val="24"/>
                <w:szCs w:val="24"/>
                <w:lang w:eastAsia="en-PH"/>
              </w:rPr>
            </w:pPr>
            <w:r w:rsidRPr="00824BC0">
              <w:rPr>
                <w:rFonts w:ascii="Times New Roman" w:hAnsi="Times New Roman" w:cs="Times New Roman"/>
                <w:b/>
                <w:bCs/>
                <w:sz w:val="24"/>
                <w:szCs w:val="24"/>
                <w:lang w:eastAsia="en-PH"/>
              </w:rPr>
              <w:t>Detailed Collection Report for June 26, 2021</w:t>
            </w:r>
          </w:p>
          <w:p w14:paraId="786824DB" w14:textId="77777777" w:rsidR="00724259" w:rsidRPr="00824BC0" w:rsidRDefault="00724259" w:rsidP="00724259">
            <w:pPr>
              <w:spacing w:after="0" w:line="240" w:lineRule="auto"/>
              <w:jc w:val="center"/>
              <w:rPr>
                <w:rFonts w:ascii="Times New Roman" w:hAnsi="Times New Roman" w:cs="Times New Roman"/>
                <w:b/>
                <w:bCs/>
                <w:sz w:val="24"/>
                <w:szCs w:val="24"/>
                <w:lang w:eastAsia="en-PH"/>
              </w:rPr>
            </w:pPr>
            <w:r w:rsidRPr="00824BC0">
              <w:rPr>
                <w:rFonts w:ascii="Times New Roman" w:hAnsi="Times New Roman" w:cs="Times New Roman"/>
                <w:b/>
                <w:bCs/>
                <w:sz w:val="24"/>
                <w:szCs w:val="24"/>
                <w:lang w:eastAsia="en-PH"/>
              </w:rPr>
              <w:t>(OR No’s 271348 to 271823)</w:t>
            </w:r>
          </w:p>
        </w:tc>
        <w:tc>
          <w:tcPr>
            <w:tcW w:w="2340" w:type="dxa"/>
            <w:tcBorders>
              <w:top w:val="nil"/>
              <w:left w:val="single" w:sz="4" w:space="0" w:color="auto"/>
              <w:bottom w:val="single" w:sz="4" w:space="0" w:color="auto"/>
              <w:right w:val="single" w:sz="4" w:space="0" w:color="auto"/>
            </w:tcBorders>
            <w:shd w:val="clear" w:color="auto" w:fill="auto"/>
            <w:noWrap/>
            <w:hideMark/>
          </w:tcPr>
          <w:p w14:paraId="4E5AD042" w14:textId="77777777" w:rsidR="00724259" w:rsidRPr="00824BC0" w:rsidRDefault="00724259" w:rsidP="00724259">
            <w:pPr>
              <w:spacing w:after="0" w:line="240" w:lineRule="auto"/>
              <w:jc w:val="center"/>
              <w:rPr>
                <w:rFonts w:ascii="Times New Roman" w:hAnsi="Times New Roman" w:cs="Times New Roman"/>
                <w:sz w:val="24"/>
                <w:szCs w:val="24"/>
                <w:lang w:eastAsia="en-PH"/>
              </w:rPr>
            </w:pPr>
            <w:r w:rsidRPr="00824BC0">
              <w:rPr>
                <w:rFonts w:ascii="Times New Roman" w:hAnsi="Times New Roman" w:cs="Times New Roman"/>
                <w:sz w:val="24"/>
                <w:szCs w:val="24"/>
                <w:lang w:eastAsia="en-PH"/>
              </w:rPr>
              <w:t>271392</w:t>
            </w:r>
          </w:p>
        </w:tc>
        <w:tc>
          <w:tcPr>
            <w:tcW w:w="2160" w:type="dxa"/>
            <w:tcBorders>
              <w:top w:val="nil"/>
              <w:left w:val="nil"/>
              <w:bottom w:val="single" w:sz="4" w:space="0" w:color="auto"/>
              <w:right w:val="single" w:sz="4" w:space="0" w:color="auto"/>
            </w:tcBorders>
            <w:shd w:val="clear" w:color="auto" w:fill="auto"/>
            <w:noWrap/>
            <w:hideMark/>
          </w:tcPr>
          <w:p w14:paraId="0CF440A2" w14:textId="77777777" w:rsidR="00724259" w:rsidRPr="00824BC0" w:rsidRDefault="00724259" w:rsidP="00724259">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        ₱ 3,705.00 </w:t>
            </w:r>
          </w:p>
        </w:tc>
      </w:tr>
      <w:tr w:rsidR="00724259" w:rsidRPr="00824BC0" w14:paraId="736D7BF5" w14:textId="77777777" w:rsidTr="000D6661">
        <w:trPr>
          <w:trHeight w:val="255"/>
        </w:trPr>
        <w:tc>
          <w:tcPr>
            <w:tcW w:w="4140" w:type="dxa"/>
            <w:vMerge/>
            <w:tcBorders>
              <w:left w:val="single" w:sz="4" w:space="0" w:color="auto"/>
              <w:bottom w:val="single" w:sz="4" w:space="0" w:color="auto"/>
              <w:right w:val="single" w:sz="4" w:space="0" w:color="auto"/>
            </w:tcBorders>
          </w:tcPr>
          <w:p w14:paraId="329F2637" w14:textId="77777777" w:rsidR="00724259" w:rsidRPr="00824BC0" w:rsidRDefault="00724259" w:rsidP="00724259">
            <w:pPr>
              <w:spacing w:after="0" w:line="240" w:lineRule="auto"/>
              <w:jc w:val="center"/>
              <w:rPr>
                <w:rFonts w:ascii="Times New Roman" w:hAnsi="Times New Roman" w:cs="Times New Roman"/>
                <w:b/>
                <w:bCs/>
                <w:sz w:val="24"/>
                <w:szCs w:val="24"/>
                <w:lang w:eastAsia="en-PH"/>
              </w:rPr>
            </w:pPr>
          </w:p>
        </w:tc>
        <w:tc>
          <w:tcPr>
            <w:tcW w:w="2340" w:type="dxa"/>
            <w:tcBorders>
              <w:top w:val="nil"/>
              <w:left w:val="single" w:sz="4" w:space="0" w:color="auto"/>
              <w:bottom w:val="single" w:sz="4" w:space="0" w:color="auto"/>
              <w:right w:val="single" w:sz="4" w:space="0" w:color="auto"/>
            </w:tcBorders>
            <w:shd w:val="clear" w:color="auto" w:fill="auto"/>
            <w:noWrap/>
            <w:hideMark/>
          </w:tcPr>
          <w:p w14:paraId="1E89E4FF" w14:textId="77777777" w:rsidR="00724259" w:rsidRPr="00824BC0" w:rsidRDefault="00724259" w:rsidP="00724259">
            <w:pPr>
              <w:spacing w:after="0" w:line="240" w:lineRule="auto"/>
              <w:jc w:val="center"/>
              <w:rPr>
                <w:rFonts w:ascii="Times New Roman" w:hAnsi="Times New Roman" w:cs="Times New Roman"/>
                <w:sz w:val="24"/>
                <w:szCs w:val="24"/>
                <w:lang w:eastAsia="en-PH"/>
              </w:rPr>
            </w:pPr>
            <w:r w:rsidRPr="00824BC0">
              <w:rPr>
                <w:rFonts w:ascii="Times New Roman" w:hAnsi="Times New Roman" w:cs="Times New Roman"/>
                <w:sz w:val="24"/>
                <w:szCs w:val="24"/>
                <w:lang w:eastAsia="en-PH"/>
              </w:rPr>
              <w:t>271393</w:t>
            </w:r>
          </w:p>
        </w:tc>
        <w:tc>
          <w:tcPr>
            <w:tcW w:w="2160" w:type="dxa"/>
            <w:tcBorders>
              <w:top w:val="nil"/>
              <w:left w:val="nil"/>
              <w:bottom w:val="single" w:sz="4" w:space="0" w:color="auto"/>
              <w:right w:val="single" w:sz="4" w:space="0" w:color="auto"/>
            </w:tcBorders>
            <w:shd w:val="clear" w:color="auto" w:fill="auto"/>
            <w:noWrap/>
            <w:hideMark/>
          </w:tcPr>
          <w:p w14:paraId="2B22DC63" w14:textId="77777777" w:rsidR="00724259" w:rsidRPr="00824BC0" w:rsidRDefault="00724259" w:rsidP="00724259">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         4,805.00 </w:t>
            </w:r>
          </w:p>
        </w:tc>
      </w:tr>
      <w:tr w:rsidR="00724259" w:rsidRPr="00824BC0" w14:paraId="148141F3" w14:textId="77777777" w:rsidTr="000D6661">
        <w:trPr>
          <w:trHeight w:val="255"/>
        </w:trPr>
        <w:tc>
          <w:tcPr>
            <w:tcW w:w="4140" w:type="dxa"/>
            <w:vMerge/>
            <w:tcBorders>
              <w:left w:val="single" w:sz="4" w:space="0" w:color="auto"/>
              <w:bottom w:val="single" w:sz="4" w:space="0" w:color="auto"/>
              <w:right w:val="single" w:sz="4" w:space="0" w:color="auto"/>
            </w:tcBorders>
          </w:tcPr>
          <w:p w14:paraId="4A395679" w14:textId="77777777" w:rsidR="00724259" w:rsidRPr="00824BC0" w:rsidRDefault="00724259" w:rsidP="00724259">
            <w:pPr>
              <w:spacing w:after="0" w:line="240" w:lineRule="auto"/>
              <w:jc w:val="center"/>
              <w:rPr>
                <w:rFonts w:ascii="Times New Roman" w:hAnsi="Times New Roman" w:cs="Times New Roman"/>
                <w:b/>
                <w:bCs/>
                <w:sz w:val="24"/>
                <w:szCs w:val="24"/>
                <w:lang w:eastAsia="en-PH"/>
              </w:rPr>
            </w:pPr>
          </w:p>
        </w:tc>
        <w:tc>
          <w:tcPr>
            <w:tcW w:w="2340" w:type="dxa"/>
            <w:tcBorders>
              <w:top w:val="nil"/>
              <w:left w:val="single" w:sz="4" w:space="0" w:color="auto"/>
              <w:bottom w:val="single" w:sz="4" w:space="0" w:color="auto"/>
              <w:right w:val="single" w:sz="4" w:space="0" w:color="auto"/>
            </w:tcBorders>
            <w:shd w:val="clear" w:color="auto" w:fill="auto"/>
            <w:noWrap/>
            <w:hideMark/>
          </w:tcPr>
          <w:p w14:paraId="14B72C29" w14:textId="77777777" w:rsidR="00724259" w:rsidRPr="00824BC0" w:rsidRDefault="00724259" w:rsidP="00724259">
            <w:pPr>
              <w:spacing w:after="0" w:line="240" w:lineRule="auto"/>
              <w:jc w:val="center"/>
              <w:rPr>
                <w:rFonts w:ascii="Times New Roman" w:hAnsi="Times New Roman" w:cs="Times New Roman"/>
                <w:sz w:val="24"/>
                <w:szCs w:val="24"/>
                <w:lang w:eastAsia="en-PH"/>
              </w:rPr>
            </w:pPr>
            <w:r w:rsidRPr="00824BC0">
              <w:rPr>
                <w:rFonts w:ascii="Times New Roman" w:hAnsi="Times New Roman" w:cs="Times New Roman"/>
                <w:sz w:val="24"/>
                <w:szCs w:val="24"/>
                <w:lang w:eastAsia="en-PH"/>
              </w:rPr>
              <w:t>271394</w:t>
            </w:r>
          </w:p>
        </w:tc>
        <w:tc>
          <w:tcPr>
            <w:tcW w:w="2160" w:type="dxa"/>
            <w:tcBorders>
              <w:top w:val="nil"/>
              <w:left w:val="nil"/>
              <w:bottom w:val="single" w:sz="4" w:space="0" w:color="auto"/>
              <w:right w:val="single" w:sz="4" w:space="0" w:color="auto"/>
            </w:tcBorders>
            <w:shd w:val="clear" w:color="auto" w:fill="auto"/>
            <w:noWrap/>
            <w:hideMark/>
          </w:tcPr>
          <w:p w14:paraId="5225F051" w14:textId="77777777" w:rsidR="00724259" w:rsidRPr="00824BC0" w:rsidRDefault="00724259" w:rsidP="00724259">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              80.00 </w:t>
            </w:r>
          </w:p>
        </w:tc>
      </w:tr>
      <w:tr w:rsidR="00724259" w:rsidRPr="00824BC0" w14:paraId="26E8D10F" w14:textId="77777777" w:rsidTr="000D6661">
        <w:trPr>
          <w:trHeight w:val="255"/>
        </w:trPr>
        <w:tc>
          <w:tcPr>
            <w:tcW w:w="4140" w:type="dxa"/>
            <w:vMerge/>
            <w:tcBorders>
              <w:left w:val="single" w:sz="4" w:space="0" w:color="auto"/>
              <w:bottom w:val="single" w:sz="4" w:space="0" w:color="auto"/>
              <w:right w:val="single" w:sz="4" w:space="0" w:color="auto"/>
            </w:tcBorders>
          </w:tcPr>
          <w:p w14:paraId="3DCBB7AE" w14:textId="77777777" w:rsidR="00724259" w:rsidRPr="00824BC0" w:rsidRDefault="00724259" w:rsidP="00724259">
            <w:pPr>
              <w:spacing w:after="0" w:line="240" w:lineRule="auto"/>
              <w:jc w:val="center"/>
              <w:rPr>
                <w:rFonts w:ascii="Times New Roman" w:hAnsi="Times New Roman" w:cs="Times New Roman"/>
                <w:b/>
                <w:bCs/>
                <w:sz w:val="24"/>
                <w:szCs w:val="24"/>
                <w:lang w:eastAsia="en-PH"/>
              </w:rPr>
            </w:pPr>
          </w:p>
        </w:tc>
        <w:tc>
          <w:tcPr>
            <w:tcW w:w="2340" w:type="dxa"/>
            <w:tcBorders>
              <w:top w:val="nil"/>
              <w:left w:val="single" w:sz="4" w:space="0" w:color="auto"/>
              <w:bottom w:val="single" w:sz="4" w:space="0" w:color="auto"/>
              <w:right w:val="single" w:sz="4" w:space="0" w:color="auto"/>
            </w:tcBorders>
            <w:shd w:val="clear" w:color="auto" w:fill="auto"/>
            <w:noWrap/>
            <w:hideMark/>
          </w:tcPr>
          <w:p w14:paraId="4B527516" w14:textId="77777777" w:rsidR="00724259" w:rsidRPr="00824BC0" w:rsidRDefault="00724259" w:rsidP="00724259">
            <w:pPr>
              <w:spacing w:after="0" w:line="240" w:lineRule="auto"/>
              <w:jc w:val="center"/>
              <w:rPr>
                <w:rFonts w:ascii="Times New Roman" w:hAnsi="Times New Roman" w:cs="Times New Roman"/>
                <w:sz w:val="24"/>
                <w:szCs w:val="24"/>
                <w:lang w:eastAsia="en-PH"/>
              </w:rPr>
            </w:pPr>
            <w:r w:rsidRPr="00824BC0">
              <w:rPr>
                <w:rFonts w:ascii="Times New Roman" w:hAnsi="Times New Roman" w:cs="Times New Roman"/>
                <w:sz w:val="24"/>
                <w:szCs w:val="24"/>
                <w:lang w:eastAsia="en-PH"/>
              </w:rPr>
              <w:t>271395</w:t>
            </w:r>
          </w:p>
        </w:tc>
        <w:tc>
          <w:tcPr>
            <w:tcW w:w="2160" w:type="dxa"/>
            <w:tcBorders>
              <w:top w:val="nil"/>
              <w:left w:val="nil"/>
              <w:bottom w:val="single" w:sz="4" w:space="0" w:color="auto"/>
              <w:right w:val="single" w:sz="4" w:space="0" w:color="auto"/>
            </w:tcBorders>
            <w:shd w:val="clear" w:color="auto" w:fill="auto"/>
            <w:noWrap/>
            <w:hideMark/>
          </w:tcPr>
          <w:p w14:paraId="3562B5E5" w14:textId="77777777" w:rsidR="00724259" w:rsidRPr="00824BC0" w:rsidRDefault="00724259" w:rsidP="00724259">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         3,705.00 </w:t>
            </w:r>
          </w:p>
        </w:tc>
      </w:tr>
      <w:tr w:rsidR="00724259" w:rsidRPr="00824BC0" w14:paraId="0E455C65" w14:textId="77777777" w:rsidTr="000D6661">
        <w:trPr>
          <w:trHeight w:val="255"/>
        </w:trPr>
        <w:tc>
          <w:tcPr>
            <w:tcW w:w="4140" w:type="dxa"/>
            <w:vMerge/>
            <w:tcBorders>
              <w:left w:val="single" w:sz="4" w:space="0" w:color="auto"/>
              <w:bottom w:val="single" w:sz="4" w:space="0" w:color="auto"/>
              <w:right w:val="single" w:sz="4" w:space="0" w:color="auto"/>
            </w:tcBorders>
          </w:tcPr>
          <w:p w14:paraId="4CA8EF23" w14:textId="77777777" w:rsidR="00724259" w:rsidRPr="00824BC0" w:rsidRDefault="00724259" w:rsidP="00724259">
            <w:pPr>
              <w:spacing w:after="0" w:line="240" w:lineRule="auto"/>
              <w:jc w:val="center"/>
              <w:rPr>
                <w:rFonts w:ascii="Times New Roman" w:hAnsi="Times New Roman" w:cs="Times New Roman"/>
                <w:b/>
                <w:bCs/>
                <w:sz w:val="24"/>
                <w:szCs w:val="24"/>
                <w:lang w:eastAsia="en-PH"/>
              </w:rPr>
            </w:pPr>
          </w:p>
        </w:tc>
        <w:tc>
          <w:tcPr>
            <w:tcW w:w="2340" w:type="dxa"/>
            <w:tcBorders>
              <w:top w:val="nil"/>
              <w:left w:val="single" w:sz="4" w:space="0" w:color="auto"/>
              <w:bottom w:val="single" w:sz="4" w:space="0" w:color="auto"/>
              <w:right w:val="single" w:sz="4" w:space="0" w:color="auto"/>
            </w:tcBorders>
            <w:shd w:val="clear" w:color="auto" w:fill="auto"/>
            <w:noWrap/>
            <w:hideMark/>
          </w:tcPr>
          <w:p w14:paraId="07EADE85" w14:textId="77777777" w:rsidR="00724259" w:rsidRPr="00824BC0" w:rsidRDefault="00724259" w:rsidP="00724259">
            <w:pPr>
              <w:spacing w:after="0" w:line="240" w:lineRule="auto"/>
              <w:jc w:val="center"/>
              <w:rPr>
                <w:rFonts w:ascii="Times New Roman" w:hAnsi="Times New Roman" w:cs="Times New Roman"/>
                <w:sz w:val="24"/>
                <w:szCs w:val="24"/>
                <w:lang w:eastAsia="en-PH"/>
              </w:rPr>
            </w:pPr>
            <w:r w:rsidRPr="00824BC0">
              <w:rPr>
                <w:rFonts w:ascii="Times New Roman" w:hAnsi="Times New Roman" w:cs="Times New Roman"/>
                <w:sz w:val="24"/>
                <w:szCs w:val="24"/>
                <w:lang w:eastAsia="en-PH"/>
              </w:rPr>
              <w:t>271396</w:t>
            </w:r>
          </w:p>
        </w:tc>
        <w:tc>
          <w:tcPr>
            <w:tcW w:w="2160" w:type="dxa"/>
            <w:tcBorders>
              <w:top w:val="nil"/>
              <w:left w:val="nil"/>
              <w:bottom w:val="single" w:sz="4" w:space="0" w:color="auto"/>
              <w:right w:val="single" w:sz="4" w:space="0" w:color="auto"/>
            </w:tcBorders>
            <w:shd w:val="clear" w:color="auto" w:fill="auto"/>
            <w:noWrap/>
            <w:hideMark/>
          </w:tcPr>
          <w:p w14:paraId="58674EC2" w14:textId="77777777" w:rsidR="00724259" w:rsidRPr="00824BC0" w:rsidRDefault="00724259" w:rsidP="00724259">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         1,625.00 </w:t>
            </w:r>
          </w:p>
        </w:tc>
      </w:tr>
      <w:tr w:rsidR="00724259" w:rsidRPr="00824BC0" w14:paraId="31D2CE3D" w14:textId="77777777" w:rsidTr="000D6661">
        <w:trPr>
          <w:trHeight w:val="255"/>
        </w:trPr>
        <w:tc>
          <w:tcPr>
            <w:tcW w:w="4140" w:type="dxa"/>
            <w:vMerge/>
            <w:tcBorders>
              <w:left w:val="single" w:sz="4" w:space="0" w:color="auto"/>
              <w:bottom w:val="single" w:sz="4" w:space="0" w:color="auto"/>
              <w:right w:val="single" w:sz="4" w:space="0" w:color="auto"/>
            </w:tcBorders>
          </w:tcPr>
          <w:p w14:paraId="15F64218" w14:textId="77777777" w:rsidR="00724259" w:rsidRPr="00824BC0" w:rsidRDefault="00724259" w:rsidP="00724259">
            <w:pPr>
              <w:spacing w:after="0" w:line="240" w:lineRule="auto"/>
              <w:jc w:val="center"/>
              <w:rPr>
                <w:rFonts w:ascii="Times New Roman" w:hAnsi="Times New Roman" w:cs="Times New Roman"/>
                <w:b/>
                <w:bCs/>
                <w:sz w:val="24"/>
                <w:szCs w:val="24"/>
                <w:lang w:eastAsia="en-PH"/>
              </w:rPr>
            </w:pPr>
          </w:p>
        </w:tc>
        <w:tc>
          <w:tcPr>
            <w:tcW w:w="2340" w:type="dxa"/>
            <w:tcBorders>
              <w:top w:val="nil"/>
              <w:left w:val="single" w:sz="4" w:space="0" w:color="auto"/>
              <w:bottom w:val="single" w:sz="4" w:space="0" w:color="auto"/>
              <w:right w:val="single" w:sz="4" w:space="0" w:color="auto"/>
            </w:tcBorders>
            <w:shd w:val="clear" w:color="auto" w:fill="auto"/>
            <w:noWrap/>
            <w:hideMark/>
          </w:tcPr>
          <w:p w14:paraId="23525D6D" w14:textId="77777777" w:rsidR="00724259" w:rsidRPr="00824BC0" w:rsidRDefault="00724259" w:rsidP="00724259">
            <w:pPr>
              <w:spacing w:after="0" w:line="240" w:lineRule="auto"/>
              <w:jc w:val="center"/>
              <w:rPr>
                <w:rFonts w:ascii="Times New Roman" w:hAnsi="Times New Roman" w:cs="Times New Roman"/>
                <w:sz w:val="24"/>
                <w:szCs w:val="24"/>
                <w:lang w:eastAsia="en-PH"/>
              </w:rPr>
            </w:pPr>
            <w:r w:rsidRPr="00824BC0">
              <w:rPr>
                <w:rFonts w:ascii="Times New Roman" w:hAnsi="Times New Roman" w:cs="Times New Roman"/>
                <w:sz w:val="24"/>
                <w:szCs w:val="24"/>
                <w:lang w:eastAsia="en-PH"/>
              </w:rPr>
              <w:t>271397</w:t>
            </w:r>
          </w:p>
        </w:tc>
        <w:tc>
          <w:tcPr>
            <w:tcW w:w="2160" w:type="dxa"/>
            <w:tcBorders>
              <w:top w:val="nil"/>
              <w:left w:val="nil"/>
              <w:bottom w:val="single" w:sz="4" w:space="0" w:color="auto"/>
              <w:right w:val="single" w:sz="4" w:space="0" w:color="auto"/>
            </w:tcBorders>
            <w:shd w:val="clear" w:color="auto" w:fill="auto"/>
            <w:noWrap/>
            <w:hideMark/>
          </w:tcPr>
          <w:p w14:paraId="29D6D5BF" w14:textId="77777777" w:rsidR="00724259" w:rsidRPr="00824BC0" w:rsidRDefault="00724259" w:rsidP="00724259">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         1,625.00 </w:t>
            </w:r>
          </w:p>
        </w:tc>
      </w:tr>
      <w:tr w:rsidR="00724259" w:rsidRPr="00824BC0" w14:paraId="530212E1" w14:textId="77777777" w:rsidTr="000D6661">
        <w:trPr>
          <w:trHeight w:val="255"/>
        </w:trPr>
        <w:tc>
          <w:tcPr>
            <w:tcW w:w="4140" w:type="dxa"/>
            <w:vMerge/>
            <w:tcBorders>
              <w:left w:val="single" w:sz="4" w:space="0" w:color="auto"/>
              <w:bottom w:val="single" w:sz="4" w:space="0" w:color="auto"/>
              <w:right w:val="single" w:sz="4" w:space="0" w:color="auto"/>
            </w:tcBorders>
          </w:tcPr>
          <w:p w14:paraId="7F3EC96E" w14:textId="77777777" w:rsidR="00724259" w:rsidRPr="00824BC0" w:rsidRDefault="00724259" w:rsidP="00724259">
            <w:pPr>
              <w:spacing w:after="0" w:line="240" w:lineRule="auto"/>
              <w:jc w:val="center"/>
              <w:rPr>
                <w:rFonts w:ascii="Times New Roman" w:hAnsi="Times New Roman" w:cs="Times New Roman"/>
                <w:b/>
                <w:bCs/>
                <w:sz w:val="24"/>
                <w:szCs w:val="24"/>
                <w:lang w:eastAsia="en-PH"/>
              </w:rPr>
            </w:pPr>
          </w:p>
        </w:tc>
        <w:tc>
          <w:tcPr>
            <w:tcW w:w="2340" w:type="dxa"/>
            <w:tcBorders>
              <w:top w:val="nil"/>
              <w:left w:val="single" w:sz="4" w:space="0" w:color="auto"/>
              <w:bottom w:val="single" w:sz="4" w:space="0" w:color="auto"/>
              <w:right w:val="single" w:sz="4" w:space="0" w:color="auto"/>
            </w:tcBorders>
            <w:shd w:val="clear" w:color="auto" w:fill="auto"/>
            <w:noWrap/>
            <w:hideMark/>
          </w:tcPr>
          <w:p w14:paraId="26C287E9" w14:textId="77777777" w:rsidR="00724259" w:rsidRPr="00824BC0" w:rsidRDefault="00724259" w:rsidP="00724259">
            <w:pPr>
              <w:spacing w:after="0" w:line="240" w:lineRule="auto"/>
              <w:jc w:val="center"/>
              <w:rPr>
                <w:rFonts w:ascii="Times New Roman" w:hAnsi="Times New Roman" w:cs="Times New Roman"/>
                <w:sz w:val="24"/>
                <w:szCs w:val="24"/>
                <w:lang w:eastAsia="en-PH"/>
              </w:rPr>
            </w:pPr>
            <w:r w:rsidRPr="00824BC0">
              <w:rPr>
                <w:rFonts w:ascii="Times New Roman" w:hAnsi="Times New Roman" w:cs="Times New Roman"/>
                <w:sz w:val="24"/>
                <w:szCs w:val="24"/>
                <w:lang w:eastAsia="en-PH"/>
              </w:rPr>
              <w:t>271398</w:t>
            </w:r>
          </w:p>
        </w:tc>
        <w:tc>
          <w:tcPr>
            <w:tcW w:w="2160" w:type="dxa"/>
            <w:tcBorders>
              <w:top w:val="nil"/>
              <w:left w:val="nil"/>
              <w:bottom w:val="single" w:sz="4" w:space="0" w:color="auto"/>
              <w:right w:val="single" w:sz="4" w:space="0" w:color="auto"/>
            </w:tcBorders>
            <w:shd w:val="clear" w:color="auto" w:fill="auto"/>
            <w:noWrap/>
            <w:hideMark/>
          </w:tcPr>
          <w:p w14:paraId="0FE4AE5E" w14:textId="77777777" w:rsidR="00724259" w:rsidRPr="00824BC0" w:rsidRDefault="00724259" w:rsidP="00724259">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         1,625.00 </w:t>
            </w:r>
          </w:p>
        </w:tc>
      </w:tr>
      <w:tr w:rsidR="00724259" w:rsidRPr="00824BC0" w14:paraId="1E479628" w14:textId="77777777" w:rsidTr="000D6661">
        <w:trPr>
          <w:trHeight w:val="255"/>
        </w:trPr>
        <w:tc>
          <w:tcPr>
            <w:tcW w:w="4140" w:type="dxa"/>
            <w:vMerge/>
            <w:tcBorders>
              <w:left w:val="single" w:sz="4" w:space="0" w:color="auto"/>
              <w:bottom w:val="single" w:sz="4" w:space="0" w:color="auto"/>
              <w:right w:val="single" w:sz="4" w:space="0" w:color="auto"/>
            </w:tcBorders>
          </w:tcPr>
          <w:p w14:paraId="119B2D90" w14:textId="77777777" w:rsidR="00724259" w:rsidRPr="00824BC0" w:rsidRDefault="00724259" w:rsidP="00724259">
            <w:pPr>
              <w:spacing w:after="0" w:line="240" w:lineRule="auto"/>
              <w:jc w:val="center"/>
              <w:rPr>
                <w:rFonts w:ascii="Times New Roman" w:hAnsi="Times New Roman" w:cs="Times New Roman"/>
                <w:b/>
                <w:bCs/>
                <w:sz w:val="24"/>
                <w:szCs w:val="24"/>
                <w:lang w:eastAsia="en-PH"/>
              </w:rPr>
            </w:pPr>
          </w:p>
        </w:tc>
        <w:tc>
          <w:tcPr>
            <w:tcW w:w="2340" w:type="dxa"/>
            <w:tcBorders>
              <w:top w:val="nil"/>
              <w:left w:val="single" w:sz="4" w:space="0" w:color="auto"/>
              <w:bottom w:val="single" w:sz="4" w:space="0" w:color="auto"/>
              <w:right w:val="single" w:sz="4" w:space="0" w:color="auto"/>
            </w:tcBorders>
            <w:shd w:val="clear" w:color="auto" w:fill="auto"/>
            <w:noWrap/>
            <w:hideMark/>
          </w:tcPr>
          <w:p w14:paraId="092FAF67" w14:textId="77777777" w:rsidR="00724259" w:rsidRPr="00824BC0" w:rsidRDefault="00724259" w:rsidP="00724259">
            <w:pPr>
              <w:spacing w:after="0" w:line="240" w:lineRule="auto"/>
              <w:jc w:val="center"/>
              <w:rPr>
                <w:rFonts w:ascii="Times New Roman" w:hAnsi="Times New Roman" w:cs="Times New Roman"/>
                <w:sz w:val="24"/>
                <w:szCs w:val="24"/>
                <w:lang w:eastAsia="en-PH"/>
              </w:rPr>
            </w:pPr>
            <w:r w:rsidRPr="00824BC0">
              <w:rPr>
                <w:rFonts w:ascii="Times New Roman" w:hAnsi="Times New Roman" w:cs="Times New Roman"/>
                <w:sz w:val="24"/>
                <w:szCs w:val="24"/>
                <w:lang w:eastAsia="en-PH"/>
              </w:rPr>
              <w:t>271399</w:t>
            </w:r>
          </w:p>
        </w:tc>
        <w:tc>
          <w:tcPr>
            <w:tcW w:w="2160" w:type="dxa"/>
            <w:tcBorders>
              <w:top w:val="nil"/>
              <w:left w:val="nil"/>
              <w:bottom w:val="single" w:sz="4" w:space="0" w:color="auto"/>
              <w:right w:val="single" w:sz="4" w:space="0" w:color="auto"/>
            </w:tcBorders>
            <w:shd w:val="clear" w:color="auto" w:fill="auto"/>
            <w:noWrap/>
            <w:hideMark/>
          </w:tcPr>
          <w:p w14:paraId="0568BDD7" w14:textId="77777777" w:rsidR="00724259" w:rsidRPr="00824BC0" w:rsidRDefault="00724259" w:rsidP="00724259">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              80.00 </w:t>
            </w:r>
          </w:p>
        </w:tc>
      </w:tr>
      <w:tr w:rsidR="00724259" w:rsidRPr="00824BC0" w14:paraId="05DE3A18" w14:textId="77777777" w:rsidTr="000D6661">
        <w:trPr>
          <w:trHeight w:val="255"/>
        </w:trPr>
        <w:tc>
          <w:tcPr>
            <w:tcW w:w="4140" w:type="dxa"/>
            <w:vMerge/>
            <w:tcBorders>
              <w:left w:val="single" w:sz="4" w:space="0" w:color="auto"/>
              <w:bottom w:val="single" w:sz="4" w:space="0" w:color="auto"/>
              <w:right w:val="single" w:sz="4" w:space="0" w:color="auto"/>
            </w:tcBorders>
          </w:tcPr>
          <w:p w14:paraId="3B584716" w14:textId="77777777" w:rsidR="00724259" w:rsidRPr="00824BC0" w:rsidRDefault="00724259" w:rsidP="00724259">
            <w:pPr>
              <w:spacing w:after="0" w:line="240" w:lineRule="auto"/>
              <w:jc w:val="center"/>
              <w:rPr>
                <w:rFonts w:ascii="Times New Roman" w:hAnsi="Times New Roman" w:cs="Times New Roman"/>
                <w:b/>
                <w:bCs/>
                <w:sz w:val="24"/>
                <w:szCs w:val="24"/>
                <w:lang w:eastAsia="en-PH"/>
              </w:rPr>
            </w:pPr>
          </w:p>
        </w:tc>
        <w:tc>
          <w:tcPr>
            <w:tcW w:w="2340" w:type="dxa"/>
            <w:tcBorders>
              <w:top w:val="nil"/>
              <w:left w:val="single" w:sz="4" w:space="0" w:color="auto"/>
              <w:bottom w:val="single" w:sz="4" w:space="0" w:color="auto"/>
              <w:right w:val="single" w:sz="4" w:space="0" w:color="auto"/>
            </w:tcBorders>
            <w:shd w:val="clear" w:color="auto" w:fill="auto"/>
            <w:noWrap/>
            <w:hideMark/>
          </w:tcPr>
          <w:p w14:paraId="44ABE691" w14:textId="77777777" w:rsidR="00724259" w:rsidRPr="00824BC0" w:rsidRDefault="00724259" w:rsidP="00724259">
            <w:pPr>
              <w:spacing w:after="0" w:line="240" w:lineRule="auto"/>
              <w:jc w:val="center"/>
              <w:rPr>
                <w:rFonts w:ascii="Times New Roman" w:hAnsi="Times New Roman" w:cs="Times New Roman"/>
                <w:sz w:val="24"/>
                <w:szCs w:val="24"/>
                <w:lang w:eastAsia="en-PH"/>
              </w:rPr>
            </w:pPr>
            <w:r w:rsidRPr="00824BC0">
              <w:rPr>
                <w:rFonts w:ascii="Times New Roman" w:hAnsi="Times New Roman" w:cs="Times New Roman"/>
                <w:sz w:val="24"/>
                <w:szCs w:val="24"/>
                <w:lang w:eastAsia="en-PH"/>
              </w:rPr>
              <w:t>271400</w:t>
            </w:r>
          </w:p>
        </w:tc>
        <w:tc>
          <w:tcPr>
            <w:tcW w:w="2160" w:type="dxa"/>
            <w:tcBorders>
              <w:top w:val="nil"/>
              <w:left w:val="nil"/>
              <w:bottom w:val="single" w:sz="4" w:space="0" w:color="auto"/>
              <w:right w:val="single" w:sz="4" w:space="0" w:color="auto"/>
            </w:tcBorders>
            <w:shd w:val="clear" w:color="auto" w:fill="auto"/>
            <w:noWrap/>
            <w:hideMark/>
          </w:tcPr>
          <w:p w14:paraId="11B91EC6" w14:textId="77777777" w:rsidR="00724259" w:rsidRPr="00824BC0" w:rsidRDefault="00724259" w:rsidP="00724259">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         3,705.00 </w:t>
            </w:r>
          </w:p>
        </w:tc>
      </w:tr>
      <w:tr w:rsidR="00724259" w:rsidRPr="00824BC0" w14:paraId="10D8C7E4" w14:textId="77777777" w:rsidTr="000D6661">
        <w:trPr>
          <w:trHeight w:val="255"/>
        </w:trPr>
        <w:tc>
          <w:tcPr>
            <w:tcW w:w="4140" w:type="dxa"/>
            <w:vMerge/>
            <w:tcBorders>
              <w:left w:val="single" w:sz="4" w:space="0" w:color="auto"/>
              <w:bottom w:val="single" w:sz="4" w:space="0" w:color="auto"/>
              <w:right w:val="single" w:sz="4" w:space="0" w:color="auto"/>
            </w:tcBorders>
          </w:tcPr>
          <w:p w14:paraId="39676BFB" w14:textId="77777777" w:rsidR="00724259" w:rsidRPr="00824BC0" w:rsidRDefault="00724259" w:rsidP="00724259">
            <w:pPr>
              <w:spacing w:after="0" w:line="240" w:lineRule="auto"/>
              <w:jc w:val="center"/>
              <w:rPr>
                <w:rFonts w:ascii="Times New Roman" w:hAnsi="Times New Roman" w:cs="Times New Roman"/>
                <w:b/>
                <w:bCs/>
                <w:sz w:val="24"/>
                <w:szCs w:val="24"/>
                <w:lang w:eastAsia="en-PH"/>
              </w:rPr>
            </w:pPr>
          </w:p>
        </w:tc>
        <w:tc>
          <w:tcPr>
            <w:tcW w:w="2340" w:type="dxa"/>
            <w:tcBorders>
              <w:top w:val="nil"/>
              <w:left w:val="single" w:sz="4" w:space="0" w:color="auto"/>
              <w:bottom w:val="single" w:sz="4" w:space="0" w:color="auto"/>
              <w:right w:val="single" w:sz="4" w:space="0" w:color="auto"/>
            </w:tcBorders>
            <w:shd w:val="clear" w:color="auto" w:fill="auto"/>
            <w:noWrap/>
            <w:hideMark/>
          </w:tcPr>
          <w:p w14:paraId="4FA65E0A" w14:textId="77777777" w:rsidR="00724259" w:rsidRPr="00824BC0" w:rsidRDefault="00724259" w:rsidP="00724259">
            <w:pPr>
              <w:spacing w:after="0" w:line="240" w:lineRule="auto"/>
              <w:jc w:val="center"/>
              <w:rPr>
                <w:rFonts w:ascii="Times New Roman" w:hAnsi="Times New Roman" w:cs="Times New Roman"/>
                <w:sz w:val="24"/>
                <w:szCs w:val="24"/>
                <w:lang w:eastAsia="en-PH"/>
              </w:rPr>
            </w:pPr>
            <w:r w:rsidRPr="00824BC0">
              <w:rPr>
                <w:rFonts w:ascii="Times New Roman" w:hAnsi="Times New Roman" w:cs="Times New Roman"/>
                <w:sz w:val="24"/>
                <w:szCs w:val="24"/>
                <w:lang w:eastAsia="en-PH"/>
              </w:rPr>
              <w:t>271401</w:t>
            </w:r>
          </w:p>
        </w:tc>
        <w:tc>
          <w:tcPr>
            <w:tcW w:w="2160" w:type="dxa"/>
            <w:tcBorders>
              <w:top w:val="nil"/>
              <w:left w:val="nil"/>
              <w:bottom w:val="single" w:sz="4" w:space="0" w:color="auto"/>
              <w:right w:val="single" w:sz="4" w:space="0" w:color="auto"/>
            </w:tcBorders>
            <w:shd w:val="clear" w:color="auto" w:fill="auto"/>
            <w:noWrap/>
            <w:hideMark/>
          </w:tcPr>
          <w:p w14:paraId="3C728804" w14:textId="77777777" w:rsidR="00724259" w:rsidRPr="00824BC0" w:rsidRDefault="00724259" w:rsidP="00724259">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         3,705.00 </w:t>
            </w:r>
          </w:p>
        </w:tc>
      </w:tr>
      <w:tr w:rsidR="00724259" w:rsidRPr="00824BC0" w14:paraId="03C09F5D" w14:textId="77777777" w:rsidTr="000D6661">
        <w:trPr>
          <w:trHeight w:val="255"/>
        </w:trPr>
        <w:tc>
          <w:tcPr>
            <w:tcW w:w="4140" w:type="dxa"/>
            <w:vMerge/>
            <w:tcBorders>
              <w:left w:val="single" w:sz="4" w:space="0" w:color="auto"/>
              <w:bottom w:val="single" w:sz="4" w:space="0" w:color="auto"/>
              <w:right w:val="single" w:sz="4" w:space="0" w:color="auto"/>
            </w:tcBorders>
          </w:tcPr>
          <w:p w14:paraId="67791F69" w14:textId="77777777" w:rsidR="00724259" w:rsidRPr="00824BC0" w:rsidRDefault="00724259" w:rsidP="00724259">
            <w:pPr>
              <w:spacing w:after="0" w:line="240" w:lineRule="auto"/>
              <w:jc w:val="center"/>
              <w:rPr>
                <w:rFonts w:ascii="Times New Roman" w:hAnsi="Times New Roman" w:cs="Times New Roman"/>
                <w:b/>
                <w:bCs/>
                <w:sz w:val="24"/>
                <w:szCs w:val="24"/>
                <w:lang w:eastAsia="en-PH"/>
              </w:rPr>
            </w:pPr>
          </w:p>
        </w:tc>
        <w:tc>
          <w:tcPr>
            <w:tcW w:w="2340" w:type="dxa"/>
            <w:tcBorders>
              <w:top w:val="nil"/>
              <w:left w:val="single" w:sz="4" w:space="0" w:color="auto"/>
              <w:bottom w:val="single" w:sz="4" w:space="0" w:color="auto"/>
              <w:right w:val="single" w:sz="4" w:space="0" w:color="auto"/>
            </w:tcBorders>
            <w:shd w:val="clear" w:color="auto" w:fill="auto"/>
            <w:noWrap/>
            <w:hideMark/>
          </w:tcPr>
          <w:p w14:paraId="2CB6F815" w14:textId="77777777" w:rsidR="00724259" w:rsidRPr="00824BC0" w:rsidRDefault="00724259" w:rsidP="00724259">
            <w:pPr>
              <w:spacing w:after="0" w:line="240" w:lineRule="auto"/>
              <w:jc w:val="center"/>
              <w:rPr>
                <w:rFonts w:ascii="Times New Roman" w:hAnsi="Times New Roman" w:cs="Times New Roman"/>
                <w:sz w:val="24"/>
                <w:szCs w:val="24"/>
                <w:lang w:eastAsia="en-PH"/>
              </w:rPr>
            </w:pPr>
            <w:r w:rsidRPr="00824BC0">
              <w:rPr>
                <w:rFonts w:ascii="Times New Roman" w:hAnsi="Times New Roman" w:cs="Times New Roman"/>
                <w:sz w:val="24"/>
                <w:szCs w:val="24"/>
                <w:lang w:eastAsia="en-PH"/>
              </w:rPr>
              <w:t>271427</w:t>
            </w:r>
          </w:p>
        </w:tc>
        <w:tc>
          <w:tcPr>
            <w:tcW w:w="2160" w:type="dxa"/>
            <w:tcBorders>
              <w:top w:val="nil"/>
              <w:left w:val="nil"/>
              <w:bottom w:val="single" w:sz="4" w:space="0" w:color="auto"/>
              <w:right w:val="single" w:sz="4" w:space="0" w:color="auto"/>
            </w:tcBorders>
            <w:shd w:val="clear" w:color="auto" w:fill="auto"/>
            <w:noWrap/>
            <w:hideMark/>
          </w:tcPr>
          <w:p w14:paraId="0257F78D" w14:textId="77777777" w:rsidR="00724259" w:rsidRPr="00824BC0" w:rsidRDefault="00724259" w:rsidP="00724259">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              40.00 </w:t>
            </w:r>
          </w:p>
        </w:tc>
      </w:tr>
      <w:tr w:rsidR="00724259" w:rsidRPr="00824BC0" w14:paraId="5C330422" w14:textId="77777777" w:rsidTr="000D6661">
        <w:trPr>
          <w:trHeight w:val="255"/>
        </w:trPr>
        <w:tc>
          <w:tcPr>
            <w:tcW w:w="4140" w:type="dxa"/>
            <w:vMerge/>
            <w:tcBorders>
              <w:left w:val="single" w:sz="4" w:space="0" w:color="auto"/>
              <w:bottom w:val="single" w:sz="4" w:space="0" w:color="auto"/>
              <w:right w:val="single" w:sz="4" w:space="0" w:color="auto"/>
            </w:tcBorders>
          </w:tcPr>
          <w:p w14:paraId="0FAE5CAD" w14:textId="77777777" w:rsidR="00724259" w:rsidRPr="00824BC0" w:rsidRDefault="00724259" w:rsidP="00724259">
            <w:pPr>
              <w:spacing w:after="0" w:line="240" w:lineRule="auto"/>
              <w:jc w:val="center"/>
              <w:rPr>
                <w:rFonts w:ascii="Times New Roman" w:hAnsi="Times New Roman" w:cs="Times New Roman"/>
                <w:b/>
                <w:bCs/>
                <w:sz w:val="24"/>
                <w:szCs w:val="24"/>
                <w:lang w:eastAsia="en-PH"/>
              </w:rPr>
            </w:pPr>
          </w:p>
        </w:tc>
        <w:tc>
          <w:tcPr>
            <w:tcW w:w="2340" w:type="dxa"/>
            <w:tcBorders>
              <w:top w:val="nil"/>
              <w:left w:val="single" w:sz="4" w:space="0" w:color="auto"/>
              <w:bottom w:val="single" w:sz="4" w:space="0" w:color="auto"/>
              <w:right w:val="single" w:sz="4" w:space="0" w:color="auto"/>
            </w:tcBorders>
            <w:shd w:val="clear" w:color="auto" w:fill="auto"/>
            <w:noWrap/>
            <w:hideMark/>
          </w:tcPr>
          <w:p w14:paraId="2F26118F" w14:textId="77777777" w:rsidR="00724259" w:rsidRPr="00824BC0" w:rsidRDefault="00724259" w:rsidP="00724259">
            <w:pPr>
              <w:spacing w:after="0" w:line="240" w:lineRule="auto"/>
              <w:jc w:val="center"/>
              <w:rPr>
                <w:rFonts w:ascii="Times New Roman" w:hAnsi="Times New Roman" w:cs="Times New Roman"/>
                <w:sz w:val="24"/>
                <w:szCs w:val="24"/>
                <w:lang w:eastAsia="en-PH"/>
              </w:rPr>
            </w:pPr>
            <w:r w:rsidRPr="00824BC0">
              <w:rPr>
                <w:rFonts w:ascii="Times New Roman" w:hAnsi="Times New Roman" w:cs="Times New Roman"/>
                <w:sz w:val="24"/>
                <w:szCs w:val="24"/>
                <w:lang w:eastAsia="en-PH"/>
              </w:rPr>
              <w:t>271428</w:t>
            </w:r>
          </w:p>
        </w:tc>
        <w:tc>
          <w:tcPr>
            <w:tcW w:w="2160" w:type="dxa"/>
            <w:tcBorders>
              <w:top w:val="nil"/>
              <w:left w:val="nil"/>
              <w:bottom w:val="single" w:sz="4" w:space="0" w:color="auto"/>
              <w:right w:val="single" w:sz="4" w:space="0" w:color="auto"/>
            </w:tcBorders>
            <w:shd w:val="clear" w:color="auto" w:fill="auto"/>
            <w:noWrap/>
            <w:hideMark/>
          </w:tcPr>
          <w:p w14:paraId="627C78CC" w14:textId="77777777" w:rsidR="00724259" w:rsidRPr="00824BC0" w:rsidRDefault="00724259" w:rsidP="00724259">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         3,705.00 </w:t>
            </w:r>
          </w:p>
        </w:tc>
      </w:tr>
      <w:tr w:rsidR="00724259" w:rsidRPr="00824BC0" w14:paraId="7B5D3F67" w14:textId="77777777" w:rsidTr="000D6661">
        <w:trPr>
          <w:trHeight w:val="255"/>
        </w:trPr>
        <w:tc>
          <w:tcPr>
            <w:tcW w:w="4140" w:type="dxa"/>
            <w:vMerge/>
            <w:tcBorders>
              <w:left w:val="single" w:sz="4" w:space="0" w:color="auto"/>
              <w:bottom w:val="single" w:sz="4" w:space="0" w:color="auto"/>
              <w:right w:val="single" w:sz="4" w:space="0" w:color="auto"/>
            </w:tcBorders>
          </w:tcPr>
          <w:p w14:paraId="2C328297" w14:textId="77777777" w:rsidR="00724259" w:rsidRPr="00824BC0" w:rsidRDefault="00724259" w:rsidP="00724259">
            <w:pPr>
              <w:spacing w:after="0" w:line="240" w:lineRule="auto"/>
              <w:jc w:val="center"/>
              <w:rPr>
                <w:rFonts w:ascii="Times New Roman" w:hAnsi="Times New Roman" w:cs="Times New Roman"/>
                <w:b/>
                <w:bCs/>
                <w:sz w:val="24"/>
                <w:szCs w:val="24"/>
                <w:lang w:eastAsia="en-PH"/>
              </w:rPr>
            </w:pPr>
          </w:p>
        </w:tc>
        <w:tc>
          <w:tcPr>
            <w:tcW w:w="2340" w:type="dxa"/>
            <w:tcBorders>
              <w:top w:val="nil"/>
              <w:left w:val="single" w:sz="4" w:space="0" w:color="auto"/>
              <w:bottom w:val="single" w:sz="4" w:space="0" w:color="auto"/>
              <w:right w:val="single" w:sz="4" w:space="0" w:color="auto"/>
            </w:tcBorders>
            <w:shd w:val="clear" w:color="auto" w:fill="auto"/>
            <w:noWrap/>
            <w:hideMark/>
          </w:tcPr>
          <w:p w14:paraId="28C8A676" w14:textId="77777777" w:rsidR="00724259" w:rsidRPr="00824BC0" w:rsidRDefault="00724259" w:rsidP="00724259">
            <w:pPr>
              <w:spacing w:after="0" w:line="240" w:lineRule="auto"/>
              <w:jc w:val="center"/>
              <w:rPr>
                <w:rFonts w:ascii="Times New Roman" w:hAnsi="Times New Roman" w:cs="Times New Roman"/>
                <w:sz w:val="24"/>
                <w:szCs w:val="24"/>
                <w:lang w:eastAsia="en-PH"/>
              </w:rPr>
            </w:pPr>
            <w:r w:rsidRPr="00824BC0">
              <w:rPr>
                <w:rFonts w:ascii="Times New Roman" w:hAnsi="Times New Roman" w:cs="Times New Roman"/>
                <w:sz w:val="24"/>
                <w:szCs w:val="24"/>
                <w:lang w:eastAsia="en-PH"/>
              </w:rPr>
              <w:t>271429</w:t>
            </w:r>
          </w:p>
        </w:tc>
        <w:tc>
          <w:tcPr>
            <w:tcW w:w="2160" w:type="dxa"/>
            <w:tcBorders>
              <w:top w:val="nil"/>
              <w:left w:val="nil"/>
              <w:bottom w:val="single" w:sz="4" w:space="0" w:color="auto"/>
              <w:right w:val="single" w:sz="4" w:space="0" w:color="auto"/>
            </w:tcBorders>
            <w:shd w:val="clear" w:color="auto" w:fill="auto"/>
            <w:noWrap/>
            <w:hideMark/>
          </w:tcPr>
          <w:p w14:paraId="34A6BAE9" w14:textId="77777777" w:rsidR="00724259" w:rsidRPr="00824BC0" w:rsidRDefault="00724259" w:rsidP="00724259">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         3,705.00 </w:t>
            </w:r>
          </w:p>
        </w:tc>
      </w:tr>
      <w:tr w:rsidR="00724259" w:rsidRPr="00824BC0" w14:paraId="75DD840F" w14:textId="77777777" w:rsidTr="000D6661">
        <w:trPr>
          <w:trHeight w:val="255"/>
        </w:trPr>
        <w:tc>
          <w:tcPr>
            <w:tcW w:w="4140" w:type="dxa"/>
            <w:vMerge/>
            <w:tcBorders>
              <w:left w:val="single" w:sz="4" w:space="0" w:color="auto"/>
              <w:bottom w:val="single" w:sz="4" w:space="0" w:color="auto"/>
              <w:right w:val="single" w:sz="4" w:space="0" w:color="auto"/>
            </w:tcBorders>
          </w:tcPr>
          <w:p w14:paraId="43564C8D" w14:textId="77777777" w:rsidR="00724259" w:rsidRPr="00824BC0" w:rsidRDefault="00724259" w:rsidP="00724259">
            <w:pPr>
              <w:spacing w:after="0" w:line="240" w:lineRule="auto"/>
              <w:jc w:val="center"/>
              <w:rPr>
                <w:rFonts w:ascii="Times New Roman" w:hAnsi="Times New Roman" w:cs="Times New Roman"/>
                <w:b/>
                <w:bCs/>
                <w:sz w:val="24"/>
                <w:szCs w:val="24"/>
                <w:lang w:eastAsia="en-PH"/>
              </w:rPr>
            </w:pPr>
          </w:p>
        </w:tc>
        <w:tc>
          <w:tcPr>
            <w:tcW w:w="2340" w:type="dxa"/>
            <w:tcBorders>
              <w:top w:val="nil"/>
              <w:left w:val="single" w:sz="4" w:space="0" w:color="auto"/>
              <w:bottom w:val="single" w:sz="4" w:space="0" w:color="auto"/>
              <w:right w:val="single" w:sz="4" w:space="0" w:color="auto"/>
            </w:tcBorders>
            <w:shd w:val="clear" w:color="auto" w:fill="auto"/>
            <w:noWrap/>
            <w:hideMark/>
          </w:tcPr>
          <w:p w14:paraId="60C39A0F" w14:textId="77777777" w:rsidR="00724259" w:rsidRPr="00824BC0" w:rsidRDefault="00724259" w:rsidP="00724259">
            <w:pPr>
              <w:spacing w:after="0" w:line="240" w:lineRule="auto"/>
              <w:jc w:val="center"/>
              <w:rPr>
                <w:rFonts w:ascii="Times New Roman" w:hAnsi="Times New Roman" w:cs="Times New Roman"/>
                <w:sz w:val="24"/>
                <w:szCs w:val="24"/>
                <w:lang w:eastAsia="en-PH"/>
              </w:rPr>
            </w:pPr>
            <w:r w:rsidRPr="00824BC0">
              <w:rPr>
                <w:rFonts w:ascii="Times New Roman" w:hAnsi="Times New Roman" w:cs="Times New Roman"/>
                <w:sz w:val="24"/>
                <w:szCs w:val="24"/>
                <w:lang w:eastAsia="en-PH"/>
              </w:rPr>
              <w:t>271430</w:t>
            </w:r>
          </w:p>
        </w:tc>
        <w:tc>
          <w:tcPr>
            <w:tcW w:w="2160" w:type="dxa"/>
            <w:tcBorders>
              <w:top w:val="nil"/>
              <w:left w:val="nil"/>
              <w:bottom w:val="single" w:sz="4" w:space="0" w:color="auto"/>
              <w:right w:val="single" w:sz="4" w:space="0" w:color="auto"/>
            </w:tcBorders>
            <w:shd w:val="clear" w:color="auto" w:fill="auto"/>
            <w:noWrap/>
            <w:hideMark/>
          </w:tcPr>
          <w:p w14:paraId="4AFA0D50" w14:textId="77777777" w:rsidR="00724259" w:rsidRPr="00824BC0" w:rsidRDefault="00724259" w:rsidP="00724259">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         3,705.00 </w:t>
            </w:r>
          </w:p>
        </w:tc>
      </w:tr>
      <w:tr w:rsidR="00724259" w:rsidRPr="00824BC0" w14:paraId="0037CEFE" w14:textId="77777777" w:rsidTr="000D6661">
        <w:trPr>
          <w:trHeight w:val="255"/>
        </w:trPr>
        <w:tc>
          <w:tcPr>
            <w:tcW w:w="4140" w:type="dxa"/>
            <w:vMerge/>
            <w:tcBorders>
              <w:left w:val="single" w:sz="4" w:space="0" w:color="auto"/>
              <w:bottom w:val="single" w:sz="4" w:space="0" w:color="auto"/>
              <w:right w:val="single" w:sz="4" w:space="0" w:color="auto"/>
            </w:tcBorders>
          </w:tcPr>
          <w:p w14:paraId="4E203706" w14:textId="77777777" w:rsidR="00724259" w:rsidRPr="00824BC0" w:rsidRDefault="00724259" w:rsidP="00724259">
            <w:pPr>
              <w:spacing w:after="0" w:line="240" w:lineRule="auto"/>
              <w:jc w:val="center"/>
              <w:rPr>
                <w:rFonts w:ascii="Times New Roman" w:hAnsi="Times New Roman" w:cs="Times New Roman"/>
                <w:b/>
                <w:bCs/>
                <w:sz w:val="24"/>
                <w:szCs w:val="24"/>
                <w:lang w:eastAsia="en-PH"/>
              </w:rPr>
            </w:pPr>
          </w:p>
        </w:tc>
        <w:tc>
          <w:tcPr>
            <w:tcW w:w="2340" w:type="dxa"/>
            <w:tcBorders>
              <w:top w:val="nil"/>
              <w:left w:val="single" w:sz="4" w:space="0" w:color="auto"/>
              <w:bottom w:val="single" w:sz="4" w:space="0" w:color="auto"/>
              <w:right w:val="single" w:sz="4" w:space="0" w:color="auto"/>
            </w:tcBorders>
            <w:shd w:val="clear" w:color="auto" w:fill="auto"/>
            <w:noWrap/>
            <w:hideMark/>
          </w:tcPr>
          <w:p w14:paraId="44EBB985" w14:textId="77777777" w:rsidR="00724259" w:rsidRPr="00824BC0" w:rsidRDefault="00724259" w:rsidP="00724259">
            <w:pPr>
              <w:spacing w:after="0" w:line="240" w:lineRule="auto"/>
              <w:jc w:val="center"/>
              <w:rPr>
                <w:rFonts w:ascii="Times New Roman" w:hAnsi="Times New Roman" w:cs="Times New Roman"/>
                <w:sz w:val="24"/>
                <w:szCs w:val="24"/>
                <w:lang w:eastAsia="en-PH"/>
              </w:rPr>
            </w:pPr>
            <w:r w:rsidRPr="00824BC0">
              <w:rPr>
                <w:rFonts w:ascii="Times New Roman" w:hAnsi="Times New Roman" w:cs="Times New Roman"/>
                <w:sz w:val="24"/>
                <w:szCs w:val="24"/>
                <w:lang w:eastAsia="en-PH"/>
              </w:rPr>
              <w:t>271431</w:t>
            </w:r>
          </w:p>
        </w:tc>
        <w:tc>
          <w:tcPr>
            <w:tcW w:w="2160" w:type="dxa"/>
            <w:tcBorders>
              <w:top w:val="nil"/>
              <w:left w:val="nil"/>
              <w:bottom w:val="single" w:sz="4" w:space="0" w:color="auto"/>
              <w:right w:val="single" w:sz="4" w:space="0" w:color="auto"/>
            </w:tcBorders>
            <w:shd w:val="clear" w:color="auto" w:fill="auto"/>
            <w:noWrap/>
            <w:hideMark/>
          </w:tcPr>
          <w:p w14:paraId="22390314" w14:textId="77777777" w:rsidR="00724259" w:rsidRPr="00824BC0" w:rsidRDefault="00724259" w:rsidP="00724259">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              40.00 </w:t>
            </w:r>
          </w:p>
        </w:tc>
      </w:tr>
      <w:tr w:rsidR="00724259" w:rsidRPr="00824BC0" w14:paraId="78F11FAF" w14:textId="77777777" w:rsidTr="000D6661">
        <w:trPr>
          <w:trHeight w:val="255"/>
        </w:trPr>
        <w:tc>
          <w:tcPr>
            <w:tcW w:w="4140" w:type="dxa"/>
            <w:vMerge/>
            <w:tcBorders>
              <w:left w:val="single" w:sz="4" w:space="0" w:color="auto"/>
              <w:bottom w:val="single" w:sz="4" w:space="0" w:color="auto"/>
              <w:right w:val="single" w:sz="4" w:space="0" w:color="auto"/>
            </w:tcBorders>
          </w:tcPr>
          <w:p w14:paraId="780C86A4" w14:textId="77777777" w:rsidR="00724259" w:rsidRPr="00824BC0" w:rsidRDefault="00724259" w:rsidP="00724259">
            <w:pPr>
              <w:spacing w:after="0" w:line="240" w:lineRule="auto"/>
              <w:jc w:val="center"/>
              <w:rPr>
                <w:rFonts w:ascii="Times New Roman" w:hAnsi="Times New Roman" w:cs="Times New Roman"/>
                <w:b/>
                <w:bCs/>
                <w:sz w:val="24"/>
                <w:szCs w:val="24"/>
                <w:lang w:eastAsia="en-PH"/>
              </w:rPr>
            </w:pPr>
          </w:p>
        </w:tc>
        <w:tc>
          <w:tcPr>
            <w:tcW w:w="2340" w:type="dxa"/>
            <w:tcBorders>
              <w:top w:val="nil"/>
              <w:left w:val="single" w:sz="4" w:space="0" w:color="auto"/>
              <w:bottom w:val="single" w:sz="4" w:space="0" w:color="auto"/>
              <w:right w:val="single" w:sz="4" w:space="0" w:color="auto"/>
            </w:tcBorders>
            <w:shd w:val="clear" w:color="auto" w:fill="auto"/>
            <w:noWrap/>
            <w:hideMark/>
          </w:tcPr>
          <w:p w14:paraId="13962D68" w14:textId="77777777" w:rsidR="00724259" w:rsidRPr="00824BC0" w:rsidRDefault="00724259" w:rsidP="00724259">
            <w:pPr>
              <w:spacing w:after="0" w:line="240" w:lineRule="auto"/>
              <w:jc w:val="center"/>
              <w:rPr>
                <w:rFonts w:ascii="Times New Roman" w:hAnsi="Times New Roman" w:cs="Times New Roman"/>
                <w:sz w:val="24"/>
                <w:szCs w:val="24"/>
                <w:lang w:eastAsia="en-PH"/>
              </w:rPr>
            </w:pPr>
            <w:r w:rsidRPr="00824BC0">
              <w:rPr>
                <w:rFonts w:ascii="Times New Roman" w:hAnsi="Times New Roman" w:cs="Times New Roman"/>
                <w:sz w:val="24"/>
                <w:szCs w:val="24"/>
                <w:lang w:eastAsia="en-PH"/>
              </w:rPr>
              <w:t>271432</w:t>
            </w:r>
          </w:p>
        </w:tc>
        <w:tc>
          <w:tcPr>
            <w:tcW w:w="2160" w:type="dxa"/>
            <w:tcBorders>
              <w:top w:val="nil"/>
              <w:left w:val="nil"/>
              <w:bottom w:val="single" w:sz="4" w:space="0" w:color="auto"/>
              <w:right w:val="single" w:sz="4" w:space="0" w:color="auto"/>
            </w:tcBorders>
            <w:shd w:val="clear" w:color="auto" w:fill="auto"/>
            <w:noWrap/>
            <w:hideMark/>
          </w:tcPr>
          <w:p w14:paraId="035898F8" w14:textId="77777777" w:rsidR="00724259" w:rsidRPr="00824BC0" w:rsidRDefault="00724259" w:rsidP="00724259">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         2,500.00 </w:t>
            </w:r>
          </w:p>
        </w:tc>
      </w:tr>
      <w:tr w:rsidR="00724259" w:rsidRPr="00824BC0" w14:paraId="752CA598" w14:textId="77777777" w:rsidTr="000D6661">
        <w:trPr>
          <w:trHeight w:val="255"/>
        </w:trPr>
        <w:tc>
          <w:tcPr>
            <w:tcW w:w="4140" w:type="dxa"/>
            <w:vMerge/>
            <w:tcBorders>
              <w:left w:val="single" w:sz="4" w:space="0" w:color="auto"/>
              <w:bottom w:val="single" w:sz="4" w:space="0" w:color="auto"/>
              <w:right w:val="single" w:sz="4" w:space="0" w:color="auto"/>
            </w:tcBorders>
          </w:tcPr>
          <w:p w14:paraId="55596240" w14:textId="77777777" w:rsidR="00724259" w:rsidRPr="00824BC0" w:rsidRDefault="00724259" w:rsidP="00724259">
            <w:pPr>
              <w:spacing w:after="0" w:line="240" w:lineRule="auto"/>
              <w:jc w:val="center"/>
              <w:rPr>
                <w:rFonts w:ascii="Times New Roman" w:hAnsi="Times New Roman" w:cs="Times New Roman"/>
                <w:b/>
                <w:bCs/>
                <w:sz w:val="24"/>
                <w:szCs w:val="24"/>
                <w:lang w:eastAsia="en-PH"/>
              </w:rPr>
            </w:pPr>
          </w:p>
        </w:tc>
        <w:tc>
          <w:tcPr>
            <w:tcW w:w="2340" w:type="dxa"/>
            <w:tcBorders>
              <w:top w:val="nil"/>
              <w:left w:val="single" w:sz="4" w:space="0" w:color="auto"/>
              <w:bottom w:val="single" w:sz="4" w:space="0" w:color="auto"/>
              <w:right w:val="single" w:sz="4" w:space="0" w:color="auto"/>
            </w:tcBorders>
            <w:shd w:val="clear" w:color="auto" w:fill="auto"/>
            <w:noWrap/>
            <w:hideMark/>
          </w:tcPr>
          <w:p w14:paraId="611B1DD2" w14:textId="77777777" w:rsidR="00724259" w:rsidRPr="00824BC0" w:rsidRDefault="00724259" w:rsidP="00724259">
            <w:pPr>
              <w:spacing w:after="0" w:line="240" w:lineRule="auto"/>
              <w:jc w:val="center"/>
              <w:rPr>
                <w:rFonts w:ascii="Times New Roman" w:hAnsi="Times New Roman" w:cs="Times New Roman"/>
                <w:sz w:val="24"/>
                <w:szCs w:val="24"/>
                <w:lang w:eastAsia="en-PH"/>
              </w:rPr>
            </w:pPr>
            <w:r w:rsidRPr="00824BC0">
              <w:rPr>
                <w:rFonts w:ascii="Times New Roman" w:hAnsi="Times New Roman" w:cs="Times New Roman"/>
                <w:sz w:val="24"/>
                <w:szCs w:val="24"/>
                <w:lang w:eastAsia="en-PH"/>
              </w:rPr>
              <w:t>271433</w:t>
            </w:r>
          </w:p>
        </w:tc>
        <w:tc>
          <w:tcPr>
            <w:tcW w:w="2160" w:type="dxa"/>
            <w:tcBorders>
              <w:top w:val="nil"/>
              <w:left w:val="nil"/>
              <w:bottom w:val="single" w:sz="4" w:space="0" w:color="auto"/>
              <w:right w:val="single" w:sz="4" w:space="0" w:color="auto"/>
            </w:tcBorders>
            <w:shd w:val="clear" w:color="auto" w:fill="auto"/>
            <w:noWrap/>
            <w:hideMark/>
          </w:tcPr>
          <w:p w14:paraId="6853E2B2" w14:textId="77777777" w:rsidR="00724259" w:rsidRPr="00824BC0" w:rsidRDefault="00724259" w:rsidP="00724259">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         2,500.00 </w:t>
            </w:r>
          </w:p>
        </w:tc>
      </w:tr>
      <w:tr w:rsidR="00724259" w:rsidRPr="00824BC0" w14:paraId="463D47E3" w14:textId="77777777" w:rsidTr="000D6661">
        <w:trPr>
          <w:trHeight w:val="255"/>
        </w:trPr>
        <w:tc>
          <w:tcPr>
            <w:tcW w:w="4140" w:type="dxa"/>
            <w:vMerge/>
            <w:tcBorders>
              <w:left w:val="single" w:sz="4" w:space="0" w:color="auto"/>
              <w:bottom w:val="single" w:sz="4" w:space="0" w:color="auto"/>
              <w:right w:val="single" w:sz="4" w:space="0" w:color="auto"/>
            </w:tcBorders>
          </w:tcPr>
          <w:p w14:paraId="4CD9BDBE" w14:textId="77777777" w:rsidR="00724259" w:rsidRPr="00824BC0" w:rsidRDefault="00724259" w:rsidP="00724259">
            <w:pPr>
              <w:spacing w:after="0" w:line="240" w:lineRule="auto"/>
              <w:jc w:val="center"/>
              <w:rPr>
                <w:rFonts w:ascii="Times New Roman" w:hAnsi="Times New Roman" w:cs="Times New Roman"/>
                <w:b/>
                <w:bCs/>
                <w:sz w:val="24"/>
                <w:szCs w:val="24"/>
                <w:lang w:eastAsia="en-PH"/>
              </w:rPr>
            </w:pPr>
          </w:p>
        </w:tc>
        <w:tc>
          <w:tcPr>
            <w:tcW w:w="2340" w:type="dxa"/>
            <w:tcBorders>
              <w:top w:val="nil"/>
              <w:left w:val="single" w:sz="4" w:space="0" w:color="auto"/>
              <w:bottom w:val="single" w:sz="4" w:space="0" w:color="auto"/>
              <w:right w:val="single" w:sz="4" w:space="0" w:color="auto"/>
            </w:tcBorders>
            <w:shd w:val="clear" w:color="auto" w:fill="auto"/>
            <w:noWrap/>
            <w:hideMark/>
          </w:tcPr>
          <w:p w14:paraId="5850EFDF" w14:textId="77777777" w:rsidR="00724259" w:rsidRPr="00824BC0" w:rsidRDefault="00724259" w:rsidP="00724259">
            <w:pPr>
              <w:spacing w:after="0" w:line="240" w:lineRule="auto"/>
              <w:jc w:val="center"/>
              <w:rPr>
                <w:rFonts w:ascii="Times New Roman" w:hAnsi="Times New Roman" w:cs="Times New Roman"/>
                <w:sz w:val="24"/>
                <w:szCs w:val="24"/>
                <w:lang w:eastAsia="en-PH"/>
              </w:rPr>
            </w:pPr>
            <w:r w:rsidRPr="00824BC0">
              <w:rPr>
                <w:rFonts w:ascii="Times New Roman" w:hAnsi="Times New Roman" w:cs="Times New Roman"/>
                <w:sz w:val="24"/>
                <w:szCs w:val="24"/>
                <w:lang w:eastAsia="en-PH"/>
              </w:rPr>
              <w:t>271434</w:t>
            </w:r>
          </w:p>
        </w:tc>
        <w:tc>
          <w:tcPr>
            <w:tcW w:w="2160" w:type="dxa"/>
            <w:tcBorders>
              <w:top w:val="nil"/>
              <w:left w:val="nil"/>
              <w:bottom w:val="single" w:sz="4" w:space="0" w:color="auto"/>
              <w:right w:val="single" w:sz="4" w:space="0" w:color="auto"/>
            </w:tcBorders>
            <w:shd w:val="clear" w:color="auto" w:fill="auto"/>
            <w:noWrap/>
            <w:hideMark/>
          </w:tcPr>
          <w:p w14:paraId="340F33A6" w14:textId="77777777" w:rsidR="00724259" w:rsidRPr="00824BC0" w:rsidRDefault="00724259" w:rsidP="00724259">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              20.00 </w:t>
            </w:r>
          </w:p>
        </w:tc>
      </w:tr>
      <w:tr w:rsidR="00724259" w:rsidRPr="00824BC0" w14:paraId="2138181E" w14:textId="77777777" w:rsidTr="000D6661">
        <w:trPr>
          <w:trHeight w:val="255"/>
        </w:trPr>
        <w:tc>
          <w:tcPr>
            <w:tcW w:w="4140" w:type="dxa"/>
            <w:vMerge/>
            <w:tcBorders>
              <w:left w:val="single" w:sz="4" w:space="0" w:color="auto"/>
              <w:bottom w:val="single" w:sz="4" w:space="0" w:color="auto"/>
              <w:right w:val="single" w:sz="4" w:space="0" w:color="auto"/>
            </w:tcBorders>
          </w:tcPr>
          <w:p w14:paraId="37FBAE7A" w14:textId="77777777" w:rsidR="00724259" w:rsidRPr="00824BC0" w:rsidRDefault="00724259" w:rsidP="00724259">
            <w:pPr>
              <w:spacing w:after="0" w:line="240" w:lineRule="auto"/>
              <w:jc w:val="center"/>
              <w:rPr>
                <w:rFonts w:ascii="Times New Roman" w:hAnsi="Times New Roman" w:cs="Times New Roman"/>
                <w:b/>
                <w:bCs/>
                <w:sz w:val="24"/>
                <w:szCs w:val="24"/>
                <w:lang w:eastAsia="en-PH"/>
              </w:rPr>
            </w:pPr>
          </w:p>
        </w:tc>
        <w:tc>
          <w:tcPr>
            <w:tcW w:w="2340" w:type="dxa"/>
            <w:tcBorders>
              <w:top w:val="nil"/>
              <w:left w:val="single" w:sz="4" w:space="0" w:color="auto"/>
              <w:bottom w:val="single" w:sz="4" w:space="0" w:color="auto"/>
              <w:right w:val="single" w:sz="4" w:space="0" w:color="auto"/>
            </w:tcBorders>
            <w:shd w:val="clear" w:color="auto" w:fill="auto"/>
            <w:noWrap/>
            <w:hideMark/>
          </w:tcPr>
          <w:p w14:paraId="4D613E15" w14:textId="77777777" w:rsidR="00724259" w:rsidRPr="00824BC0" w:rsidRDefault="00724259" w:rsidP="00724259">
            <w:pPr>
              <w:spacing w:after="0" w:line="240" w:lineRule="auto"/>
              <w:jc w:val="center"/>
              <w:rPr>
                <w:rFonts w:ascii="Times New Roman" w:hAnsi="Times New Roman" w:cs="Times New Roman"/>
                <w:sz w:val="24"/>
                <w:szCs w:val="24"/>
                <w:lang w:eastAsia="en-PH"/>
              </w:rPr>
            </w:pPr>
            <w:r w:rsidRPr="00824BC0">
              <w:rPr>
                <w:rFonts w:ascii="Times New Roman" w:hAnsi="Times New Roman" w:cs="Times New Roman"/>
                <w:sz w:val="24"/>
                <w:szCs w:val="24"/>
                <w:lang w:eastAsia="en-PH"/>
              </w:rPr>
              <w:t>271435</w:t>
            </w:r>
          </w:p>
        </w:tc>
        <w:tc>
          <w:tcPr>
            <w:tcW w:w="2160" w:type="dxa"/>
            <w:tcBorders>
              <w:top w:val="nil"/>
              <w:left w:val="nil"/>
              <w:bottom w:val="single" w:sz="4" w:space="0" w:color="auto"/>
              <w:right w:val="single" w:sz="4" w:space="0" w:color="auto"/>
            </w:tcBorders>
            <w:shd w:val="clear" w:color="auto" w:fill="auto"/>
            <w:noWrap/>
            <w:hideMark/>
          </w:tcPr>
          <w:p w14:paraId="26979B93" w14:textId="77777777" w:rsidR="00724259" w:rsidRPr="00824BC0" w:rsidRDefault="00724259" w:rsidP="00724259">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         3,705.00 </w:t>
            </w:r>
          </w:p>
        </w:tc>
      </w:tr>
      <w:tr w:rsidR="00724259" w:rsidRPr="00824BC0" w14:paraId="7B0DCC5B" w14:textId="77777777" w:rsidTr="000D6661">
        <w:trPr>
          <w:trHeight w:val="255"/>
        </w:trPr>
        <w:tc>
          <w:tcPr>
            <w:tcW w:w="4140" w:type="dxa"/>
            <w:vMerge/>
            <w:tcBorders>
              <w:left w:val="single" w:sz="4" w:space="0" w:color="auto"/>
              <w:bottom w:val="single" w:sz="4" w:space="0" w:color="auto"/>
              <w:right w:val="single" w:sz="4" w:space="0" w:color="auto"/>
            </w:tcBorders>
          </w:tcPr>
          <w:p w14:paraId="0001F5D8" w14:textId="77777777" w:rsidR="00724259" w:rsidRPr="00824BC0" w:rsidRDefault="00724259" w:rsidP="00724259">
            <w:pPr>
              <w:spacing w:after="0" w:line="240" w:lineRule="auto"/>
              <w:jc w:val="center"/>
              <w:rPr>
                <w:rFonts w:ascii="Times New Roman" w:hAnsi="Times New Roman" w:cs="Times New Roman"/>
                <w:b/>
                <w:bCs/>
                <w:sz w:val="24"/>
                <w:szCs w:val="24"/>
                <w:lang w:eastAsia="en-PH"/>
              </w:rPr>
            </w:pPr>
          </w:p>
        </w:tc>
        <w:tc>
          <w:tcPr>
            <w:tcW w:w="2340" w:type="dxa"/>
            <w:tcBorders>
              <w:top w:val="nil"/>
              <w:left w:val="single" w:sz="4" w:space="0" w:color="auto"/>
              <w:bottom w:val="single" w:sz="4" w:space="0" w:color="auto"/>
              <w:right w:val="single" w:sz="4" w:space="0" w:color="auto"/>
            </w:tcBorders>
            <w:shd w:val="clear" w:color="auto" w:fill="auto"/>
            <w:noWrap/>
            <w:hideMark/>
          </w:tcPr>
          <w:p w14:paraId="664102C2" w14:textId="77777777" w:rsidR="00724259" w:rsidRPr="00824BC0" w:rsidRDefault="00724259" w:rsidP="00724259">
            <w:pPr>
              <w:spacing w:after="0" w:line="240" w:lineRule="auto"/>
              <w:jc w:val="center"/>
              <w:rPr>
                <w:rFonts w:ascii="Times New Roman" w:hAnsi="Times New Roman" w:cs="Times New Roman"/>
                <w:sz w:val="24"/>
                <w:szCs w:val="24"/>
                <w:lang w:eastAsia="en-PH"/>
              </w:rPr>
            </w:pPr>
            <w:r w:rsidRPr="00824BC0">
              <w:rPr>
                <w:rFonts w:ascii="Times New Roman" w:hAnsi="Times New Roman" w:cs="Times New Roman"/>
                <w:sz w:val="24"/>
                <w:szCs w:val="24"/>
                <w:lang w:eastAsia="en-PH"/>
              </w:rPr>
              <w:t>271436</w:t>
            </w:r>
          </w:p>
        </w:tc>
        <w:tc>
          <w:tcPr>
            <w:tcW w:w="2160" w:type="dxa"/>
            <w:tcBorders>
              <w:top w:val="nil"/>
              <w:left w:val="nil"/>
              <w:bottom w:val="single" w:sz="4" w:space="0" w:color="auto"/>
              <w:right w:val="single" w:sz="4" w:space="0" w:color="auto"/>
            </w:tcBorders>
            <w:shd w:val="clear" w:color="auto" w:fill="auto"/>
            <w:noWrap/>
            <w:hideMark/>
          </w:tcPr>
          <w:p w14:paraId="6713BB85" w14:textId="77777777" w:rsidR="00724259" w:rsidRPr="00824BC0" w:rsidRDefault="00724259" w:rsidP="00724259">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         3,705.00 </w:t>
            </w:r>
          </w:p>
        </w:tc>
      </w:tr>
      <w:tr w:rsidR="00724259" w:rsidRPr="00824BC0" w14:paraId="0D182BD7" w14:textId="77777777" w:rsidTr="000D6661">
        <w:trPr>
          <w:trHeight w:val="624"/>
        </w:trPr>
        <w:tc>
          <w:tcPr>
            <w:tcW w:w="4140" w:type="dxa"/>
            <w:tcBorders>
              <w:top w:val="single" w:sz="4" w:space="0" w:color="auto"/>
              <w:left w:val="single" w:sz="4" w:space="0" w:color="auto"/>
              <w:bottom w:val="single" w:sz="4" w:space="0" w:color="auto"/>
              <w:right w:val="single" w:sz="4" w:space="0" w:color="auto"/>
            </w:tcBorders>
          </w:tcPr>
          <w:p w14:paraId="5B65C69A" w14:textId="77777777" w:rsidR="00724259" w:rsidRPr="00824BC0" w:rsidRDefault="00724259" w:rsidP="00724259">
            <w:pPr>
              <w:spacing w:after="0" w:line="240" w:lineRule="auto"/>
              <w:jc w:val="center"/>
              <w:rPr>
                <w:rFonts w:ascii="Times New Roman" w:hAnsi="Times New Roman" w:cs="Times New Roman"/>
                <w:b/>
                <w:bCs/>
                <w:sz w:val="24"/>
                <w:szCs w:val="24"/>
                <w:lang w:eastAsia="en-PH"/>
              </w:rPr>
            </w:pPr>
            <w:r w:rsidRPr="00824BC0">
              <w:rPr>
                <w:rFonts w:ascii="Times New Roman" w:hAnsi="Times New Roman" w:cs="Times New Roman"/>
                <w:b/>
                <w:bCs/>
                <w:sz w:val="24"/>
                <w:szCs w:val="24"/>
                <w:lang w:eastAsia="en-PH"/>
              </w:rPr>
              <w:t>Detailed Collection Report for August 21, 2021</w:t>
            </w:r>
          </w:p>
          <w:p w14:paraId="6A80F269" w14:textId="77777777" w:rsidR="00724259" w:rsidRPr="00824BC0" w:rsidRDefault="00724259" w:rsidP="00724259">
            <w:pPr>
              <w:spacing w:after="0" w:line="240" w:lineRule="auto"/>
              <w:jc w:val="center"/>
              <w:rPr>
                <w:rFonts w:ascii="Times New Roman" w:hAnsi="Times New Roman" w:cs="Times New Roman"/>
                <w:b/>
                <w:bCs/>
                <w:sz w:val="24"/>
                <w:szCs w:val="24"/>
                <w:lang w:eastAsia="en-PH"/>
              </w:rPr>
            </w:pPr>
            <w:r w:rsidRPr="00824BC0">
              <w:rPr>
                <w:rFonts w:ascii="Times New Roman" w:hAnsi="Times New Roman" w:cs="Times New Roman"/>
                <w:b/>
                <w:bCs/>
                <w:sz w:val="24"/>
                <w:szCs w:val="24"/>
                <w:lang w:eastAsia="en-PH"/>
              </w:rPr>
              <w:t>(OR No. 271823 to 272049)</w:t>
            </w:r>
          </w:p>
        </w:tc>
        <w:tc>
          <w:tcPr>
            <w:tcW w:w="2340" w:type="dxa"/>
            <w:tcBorders>
              <w:top w:val="nil"/>
              <w:left w:val="single" w:sz="4" w:space="0" w:color="auto"/>
              <w:bottom w:val="single" w:sz="4" w:space="0" w:color="auto"/>
              <w:right w:val="single" w:sz="4" w:space="0" w:color="auto"/>
            </w:tcBorders>
            <w:shd w:val="clear" w:color="auto" w:fill="auto"/>
            <w:noWrap/>
            <w:hideMark/>
          </w:tcPr>
          <w:p w14:paraId="6FE098A2" w14:textId="77777777" w:rsidR="00724259" w:rsidRPr="00824BC0" w:rsidRDefault="00724259" w:rsidP="00724259">
            <w:pPr>
              <w:spacing w:after="0" w:line="240" w:lineRule="auto"/>
              <w:jc w:val="center"/>
              <w:rPr>
                <w:rFonts w:ascii="Times New Roman" w:hAnsi="Times New Roman" w:cs="Times New Roman"/>
                <w:sz w:val="24"/>
                <w:szCs w:val="24"/>
                <w:lang w:eastAsia="en-PH"/>
              </w:rPr>
            </w:pPr>
            <w:r w:rsidRPr="00824BC0">
              <w:rPr>
                <w:rFonts w:ascii="Times New Roman" w:hAnsi="Times New Roman" w:cs="Times New Roman"/>
                <w:sz w:val="24"/>
                <w:szCs w:val="24"/>
                <w:lang w:eastAsia="en-PH"/>
              </w:rPr>
              <w:t>271861</w:t>
            </w:r>
          </w:p>
        </w:tc>
        <w:tc>
          <w:tcPr>
            <w:tcW w:w="2160" w:type="dxa"/>
            <w:tcBorders>
              <w:top w:val="nil"/>
              <w:left w:val="nil"/>
              <w:bottom w:val="single" w:sz="4" w:space="0" w:color="auto"/>
              <w:right w:val="single" w:sz="4" w:space="0" w:color="auto"/>
            </w:tcBorders>
            <w:shd w:val="clear" w:color="auto" w:fill="auto"/>
            <w:noWrap/>
            <w:hideMark/>
          </w:tcPr>
          <w:p w14:paraId="164C6DAC" w14:textId="77777777" w:rsidR="00724259" w:rsidRPr="00824BC0" w:rsidRDefault="00724259" w:rsidP="00724259">
            <w:pPr>
              <w:spacing w:after="0" w:line="240" w:lineRule="auto"/>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         5,225.00 </w:t>
            </w:r>
          </w:p>
        </w:tc>
      </w:tr>
      <w:tr w:rsidR="00724259" w:rsidRPr="00824BC0" w14:paraId="562FCDCC" w14:textId="77777777" w:rsidTr="00A94951">
        <w:trPr>
          <w:trHeight w:val="255"/>
        </w:trPr>
        <w:tc>
          <w:tcPr>
            <w:tcW w:w="6480" w:type="dxa"/>
            <w:gridSpan w:val="2"/>
            <w:tcBorders>
              <w:top w:val="nil"/>
              <w:left w:val="single" w:sz="4" w:space="0" w:color="auto"/>
              <w:bottom w:val="single" w:sz="4" w:space="0" w:color="auto"/>
              <w:right w:val="single" w:sz="4" w:space="0" w:color="auto"/>
            </w:tcBorders>
          </w:tcPr>
          <w:p w14:paraId="73568E1A" w14:textId="77777777" w:rsidR="00724259" w:rsidRPr="00824BC0" w:rsidRDefault="00724259" w:rsidP="00724259">
            <w:pPr>
              <w:spacing w:after="0" w:line="240" w:lineRule="auto"/>
              <w:jc w:val="center"/>
              <w:rPr>
                <w:rFonts w:ascii="Times New Roman" w:hAnsi="Times New Roman" w:cs="Times New Roman"/>
                <w:b/>
                <w:bCs/>
                <w:sz w:val="24"/>
                <w:szCs w:val="24"/>
                <w:lang w:eastAsia="en-PH"/>
              </w:rPr>
            </w:pPr>
            <w:r w:rsidRPr="00824BC0">
              <w:rPr>
                <w:rFonts w:ascii="Times New Roman" w:hAnsi="Times New Roman" w:cs="Times New Roman"/>
                <w:b/>
                <w:bCs/>
                <w:sz w:val="24"/>
                <w:szCs w:val="24"/>
                <w:lang w:eastAsia="en-PH"/>
              </w:rPr>
              <w:t> TOTAL</w:t>
            </w:r>
          </w:p>
        </w:tc>
        <w:tc>
          <w:tcPr>
            <w:tcW w:w="2160" w:type="dxa"/>
            <w:tcBorders>
              <w:top w:val="nil"/>
              <w:left w:val="nil"/>
              <w:bottom w:val="single" w:sz="4" w:space="0" w:color="auto"/>
              <w:right w:val="single" w:sz="4" w:space="0" w:color="auto"/>
            </w:tcBorders>
            <w:shd w:val="clear" w:color="auto" w:fill="auto"/>
            <w:noWrap/>
            <w:hideMark/>
          </w:tcPr>
          <w:p w14:paraId="5A9661B9" w14:textId="77777777" w:rsidR="00724259" w:rsidRPr="00824BC0" w:rsidRDefault="00724259" w:rsidP="00724259">
            <w:pPr>
              <w:spacing w:after="0" w:line="240" w:lineRule="auto"/>
              <w:jc w:val="right"/>
              <w:rPr>
                <w:rFonts w:ascii="Times New Roman" w:hAnsi="Times New Roman" w:cs="Times New Roman"/>
                <w:b/>
                <w:bCs/>
                <w:sz w:val="24"/>
                <w:szCs w:val="24"/>
                <w:lang w:eastAsia="en-PH"/>
              </w:rPr>
            </w:pPr>
            <w:r w:rsidRPr="00824BC0">
              <w:rPr>
                <w:rFonts w:ascii="Times New Roman" w:hAnsi="Times New Roman" w:cs="Times New Roman"/>
                <w:b/>
                <w:bCs/>
                <w:sz w:val="24"/>
                <w:szCs w:val="24"/>
                <w:lang w:eastAsia="en-PH"/>
              </w:rPr>
              <w:t xml:space="preserve">₱ 53,510.00 </w:t>
            </w:r>
          </w:p>
        </w:tc>
      </w:tr>
    </w:tbl>
    <w:p w14:paraId="02F6F1EA" w14:textId="77777777" w:rsidR="00724259" w:rsidRPr="00824BC0" w:rsidRDefault="00724259" w:rsidP="00724259">
      <w:pPr>
        <w:pStyle w:val="ListParagraph"/>
        <w:ind w:left="1080"/>
        <w:jc w:val="both"/>
        <w:rPr>
          <w:szCs w:val="24"/>
        </w:rPr>
      </w:pPr>
    </w:p>
    <w:p w14:paraId="56AB5993" w14:textId="03B45EA3" w:rsidR="00724259" w:rsidRPr="00824BC0" w:rsidRDefault="00724259" w:rsidP="00F875EF">
      <w:pPr>
        <w:pStyle w:val="ListParagraph"/>
        <w:numPr>
          <w:ilvl w:val="1"/>
          <w:numId w:val="5"/>
        </w:numPr>
        <w:ind w:left="0" w:firstLine="0"/>
        <w:jc w:val="both"/>
        <w:rPr>
          <w:szCs w:val="24"/>
        </w:rPr>
      </w:pPr>
      <w:r w:rsidRPr="00824BC0">
        <w:rPr>
          <w:szCs w:val="24"/>
        </w:rPr>
        <w:t>The Audit Team also noted that the total amount in the DCR prepared and certified by the Cashier for certain dates did not reconcile with that of the actual ORs involved. The difference between the total amount reflected in the DCR vis-à-vis the actual ORs totaled</w:t>
      </w:r>
      <w:r w:rsidR="0011258A">
        <w:rPr>
          <w:szCs w:val="24"/>
        </w:rPr>
        <w:t xml:space="preserve"> </w:t>
      </w:r>
      <w:r w:rsidRPr="00824BC0">
        <w:rPr>
          <w:szCs w:val="24"/>
          <w:lang w:eastAsia="en-PH"/>
        </w:rPr>
        <w:t>₱</w:t>
      </w:r>
      <w:r w:rsidRPr="00824BC0">
        <w:rPr>
          <w:szCs w:val="24"/>
        </w:rPr>
        <w:t>21,650.00, arrived at as follows:</w:t>
      </w:r>
    </w:p>
    <w:p w14:paraId="069845C2" w14:textId="77777777" w:rsidR="00724259" w:rsidRPr="00824BC0" w:rsidRDefault="00724259" w:rsidP="00724259">
      <w:pPr>
        <w:spacing w:after="0" w:line="240" w:lineRule="auto"/>
        <w:ind w:left="720"/>
        <w:jc w:val="both"/>
        <w:rPr>
          <w:rFonts w:ascii="Times New Roman" w:hAnsi="Times New Roman" w:cs="Times New Roman"/>
          <w:sz w:val="24"/>
          <w:szCs w:val="24"/>
        </w:rPr>
      </w:pPr>
    </w:p>
    <w:tbl>
      <w:tblPr>
        <w:tblStyle w:val="TableGrid"/>
        <w:tblW w:w="8640" w:type="dxa"/>
        <w:tblInd w:w="-5" w:type="dxa"/>
        <w:tblLayout w:type="fixed"/>
        <w:tblCellMar>
          <w:left w:w="115" w:type="dxa"/>
          <w:right w:w="115" w:type="dxa"/>
        </w:tblCellMar>
        <w:tblLook w:val="04A0" w:firstRow="1" w:lastRow="0" w:firstColumn="1" w:lastColumn="0" w:noHBand="0" w:noVBand="1"/>
      </w:tblPr>
      <w:tblGrid>
        <w:gridCol w:w="1350"/>
        <w:gridCol w:w="1260"/>
        <w:gridCol w:w="1080"/>
        <w:gridCol w:w="1710"/>
        <w:gridCol w:w="1710"/>
        <w:gridCol w:w="1530"/>
      </w:tblGrid>
      <w:tr w:rsidR="00724259" w:rsidRPr="00824BC0" w14:paraId="59D21451" w14:textId="77777777" w:rsidTr="00A94951">
        <w:trPr>
          <w:trHeight w:val="255"/>
        </w:trPr>
        <w:tc>
          <w:tcPr>
            <w:tcW w:w="1350" w:type="dxa"/>
            <w:vMerge w:val="restart"/>
            <w:noWrap/>
            <w:vAlign w:val="center"/>
            <w:hideMark/>
          </w:tcPr>
          <w:p w14:paraId="1AB8D66E" w14:textId="77777777" w:rsidR="00724259" w:rsidRPr="00824BC0" w:rsidRDefault="00724259" w:rsidP="00724259">
            <w:pPr>
              <w:jc w:val="center"/>
              <w:rPr>
                <w:rFonts w:ascii="Times New Roman" w:hAnsi="Times New Roman" w:cs="Times New Roman"/>
                <w:b/>
                <w:bCs/>
                <w:sz w:val="24"/>
                <w:szCs w:val="24"/>
                <w:lang w:eastAsia="en-PH"/>
              </w:rPr>
            </w:pPr>
            <w:r w:rsidRPr="00824BC0">
              <w:rPr>
                <w:rFonts w:ascii="Times New Roman" w:hAnsi="Times New Roman" w:cs="Times New Roman"/>
                <w:b/>
                <w:bCs/>
                <w:sz w:val="24"/>
                <w:szCs w:val="24"/>
                <w:lang w:eastAsia="en-PH"/>
              </w:rPr>
              <w:t>Date</w:t>
            </w:r>
          </w:p>
        </w:tc>
        <w:tc>
          <w:tcPr>
            <w:tcW w:w="2340" w:type="dxa"/>
            <w:gridSpan w:val="2"/>
            <w:noWrap/>
            <w:vAlign w:val="center"/>
            <w:hideMark/>
          </w:tcPr>
          <w:p w14:paraId="40070138" w14:textId="77777777" w:rsidR="00724259" w:rsidRPr="00824BC0" w:rsidRDefault="00724259" w:rsidP="00724259">
            <w:pPr>
              <w:jc w:val="center"/>
              <w:rPr>
                <w:rFonts w:ascii="Times New Roman" w:hAnsi="Times New Roman" w:cs="Times New Roman"/>
                <w:b/>
                <w:bCs/>
                <w:sz w:val="24"/>
                <w:szCs w:val="24"/>
                <w:lang w:eastAsia="en-PH"/>
              </w:rPr>
            </w:pPr>
            <w:r w:rsidRPr="00824BC0">
              <w:rPr>
                <w:rFonts w:ascii="Times New Roman" w:hAnsi="Times New Roman" w:cs="Times New Roman"/>
                <w:b/>
                <w:bCs/>
                <w:sz w:val="24"/>
                <w:szCs w:val="24"/>
                <w:lang w:eastAsia="en-PH"/>
              </w:rPr>
              <w:t>OR Nos.</w:t>
            </w:r>
          </w:p>
        </w:tc>
        <w:tc>
          <w:tcPr>
            <w:tcW w:w="3420" w:type="dxa"/>
            <w:gridSpan w:val="2"/>
            <w:vAlign w:val="center"/>
            <w:hideMark/>
          </w:tcPr>
          <w:p w14:paraId="67C69137" w14:textId="77777777" w:rsidR="00724259" w:rsidRPr="00824BC0" w:rsidRDefault="00724259" w:rsidP="00724259">
            <w:pPr>
              <w:jc w:val="center"/>
              <w:rPr>
                <w:rFonts w:ascii="Times New Roman" w:hAnsi="Times New Roman" w:cs="Times New Roman"/>
                <w:b/>
                <w:bCs/>
                <w:sz w:val="24"/>
                <w:szCs w:val="24"/>
                <w:lang w:eastAsia="en-PH"/>
              </w:rPr>
            </w:pPr>
            <w:r w:rsidRPr="00824BC0">
              <w:rPr>
                <w:rFonts w:ascii="Times New Roman" w:hAnsi="Times New Roman" w:cs="Times New Roman"/>
                <w:b/>
                <w:bCs/>
                <w:sz w:val="24"/>
                <w:szCs w:val="24"/>
                <w:lang w:eastAsia="en-PH"/>
              </w:rPr>
              <w:t>Total</w:t>
            </w:r>
          </w:p>
        </w:tc>
        <w:tc>
          <w:tcPr>
            <w:tcW w:w="1530" w:type="dxa"/>
            <w:vMerge w:val="restart"/>
            <w:vAlign w:val="center"/>
            <w:hideMark/>
          </w:tcPr>
          <w:p w14:paraId="47BDDCF2" w14:textId="77777777" w:rsidR="00724259" w:rsidRPr="00824BC0" w:rsidRDefault="00724259" w:rsidP="00724259">
            <w:pPr>
              <w:jc w:val="center"/>
              <w:rPr>
                <w:rFonts w:ascii="Times New Roman" w:hAnsi="Times New Roman" w:cs="Times New Roman"/>
                <w:b/>
                <w:bCs/>
                <w:sz w:val="24"/>
                <w:szCs w:val="24"/>
                <w:lang w:eastAsia="en-PH"/>
              </w:rPr>
            </w:pPr>
            <w:r w:rsidRPr="00824BC0">
              <w:rPr>
                <w:rFonts w:ascii="Times New Roman" w:hAnsi="Times New Roman" w:cs="Times New Roman"/>
                <w:b/>
                <w:bCs/>
                <w:sz w:val="24"/>
                <w:szCs w:val="24"/>
                <w:lang w:eastAsia="en-PH"/>
              </w:rPr>
              <w:t xml:space="preserve">Variance </w:t>
            </w:r>
          </w:p>
        </w:tc>
      </w:tr>
      <w:tr w:rsidR="00724259" w:rsidRPr="00824BC0" w14:paraId="37917622" w14:textId="77777777" w:rsidTr="00A94951">
        <w:trPr>
          <w:trHeight w:val="765"/>
        </w:trPr>
        <w:tc>
          <w:tcPr>
            <w:tcW w:w="1350" w:type="dxa"/>
            <w:vMerge/>
            <w:hideMark/>
          </w:tcPr>
          <w:p w14:paraId="6B62508C" w14:textId="77777777" w:rsidR="00724259" w:rsidRPr="00824BC0" w:rsidRDefault="00724259" w:rsidP="00724259">
            <w:pPr>
              <w:rPr>
                <w:rFonts w:ascii="Times New Roman" w:hAnsi="Times New Roman" w:cs="Times New Roman"/>
                <w:b/>
                <w:bCs/>
                <w:sz w:val="24"/>
                <w:szCs w:val="24"/>
                <w:lang w:eastAsia="en-PH"/>
              </w:rPr>
            </w:pPr>
          </w:p>
        </w:tc>
        <w:tc>
          <w:tcPr>
            <w:tcW w:w="1260" w:type="dxa"/>
            <w:noWrap/>
            <w:vAlign w:val="center"/>
            <w:hideMark/>
          </w:tcPr>
          <w:p w14:paraId="35B904FE" w14:textId="77777777" w:rsidR="00724259" w:rsidRPr="00824BC0" w:rsidRDefault="00724259" w:rsidP="00724259">
            <w:pPr>
              <w:jc w:val="center"/>
              <w:rPr>
                <w:rFonts w:ascii="Times New Roman" w:hAnsi="Times New Roman" w:cs="Times New Roman"/>
                <w:b/>
                <w:bCs/>
                <w:sz w:val="24"/>
                <w:szCs w:val="24"/>
                <w:lang w:eastAsia="en-PH"/>
              </w:rPr>
            </w:pPr>
            <w:r w:rsidRPr="00824BC0">
              <w:rPr>
                <w:rFonts w:ascii="Times New Roman" w:hAnsi="Times New Roman" w:cs="Times New Roman"/>
                <w:b/>
                <w:bCs/>
                <w:sz w:val="24"/>
                <w:szCs w:val="24"/>
                <w:lang w:eastAsia="en-PH"/>
              </w:rPr>
              <w:t>From</w:t>
            </w:r>
          </w:p>
        </w:tc>
        <w:tc>
          <w:tcPr>
            <w:tcW w:w="1080" w:type="dxa"/>
            <w:noWrap/>
            <w:vAlign w:val="center"/>
            <w:hideMark/>
          </w:tcPr>
          <w:p w14:paraId="1601611D" w14:textId="77777777" w:rsidR="00724259" w:rsidRPr="00824BC0" w:rsidRDefault="00724259" w:rsidP="00724259">
            <w:pPr>
              <w:jc w:val="center"/>
              <w:rPr>
                <w:rFonts w:ascii="Times New Roman" w:hAnsi="Times New Roman" w:cs="Times New Roman"/>
                <w:b/>
                <w:bCs/>
                <w:sz w:val="24"/>
                <w:szCs w:val="24"/>
                <w:lang w:eastAsia="en-PH"/>
              </w:rPr>
            </w:pPr>
            <w:r w:rsidRPr="00824BC0">
              <w:rPr>
                <w:rFonts w:ascii="Times New Roman" w:hAnsi="Times New Roman" w:cs="Times New Roman"/>
                <w:b/>
                <w:bCs/>
                <w:sz w:val="24"/>
                <w:szCs w:val="24"/>
                <w:lang w:eastAsia="en-PH"/>
              </w:rPr>
              <w:t>To</w:t>
            </w:r>
          </w:p>
        </w:tc>
        <w:tc>
          <w:tcPr>
            <w:tcW w:w="1710" w:type="dxa"/>
            <w:hideMark/>
          </w:tcPr>
          <w:p w14:paraId="4DF74B09" w14:textId="77777777" w:rsidR="00724259" w:rsidRPr="00824BC0" w:rsidRDefault="00724259" w:rsidP="00724259">
            <w:pPr>
              <w:jc w:val="center"/>
              <w:rPr>
                <w:rFonts w:ascii="Times New Roman" w:hAnsi="Times New Roman" w:cs="Times New Roman"/>
                <w:b/>
                <w:bCs/>
                <w:sz w:val="24"/>
                <w:szCs w:val="24"/>
                <w:lang w:eastAsia="en-PH"/>
              </w:rPr>
            </w:pPr>
            <w:r w:rsidRPr="00824BC0">
              <w:rPr>
                <w:rFonts w:ascii="Times New Roman" w:hAnsi="Times New Roman" w:cs="Times New Roman"/>
                <w:b/>
                <w:bCs/>
                <w:sz w:val="24"/>
                <w:szCs w:val="24"/>
                <w:lang w:eastAsia="en-PH"/>
              </w:rPr>
              <w:t xml:space="preserve"> Per Detailed Collection Report  </w:t>
            </w:r>
          </w:p>
        </w:tc>
        <w:tc>
          <w:tcPr>
            <w:tcW w:w="1710" w:type="dxa"/>
            <w:hideMark/>
          </w:tcPr>
          <w:p w14:paraId="23066646" w14:textId="77777777" w:rsidR="00724259" w:rsidRPr="00824BC0" w:rsidRDefault="00724259" w:rsidP="00724259">
            <w:pPr>
              <w:jc w:val="center"/>
              <w:rPr>
                <w:rFonts w:ascii="Times New Roman" w:hAnsi="Times New Roman" w:cs="Times New Roman"/>
                <w:b/>
                <w:bCs/>
                <w:sz w:val="24"/>
                <w:szCs w:val="24"/>
                <w:lang w:eastAsia="en-PH"/>
              </w:rPr>
            </w:pPr>
            <w:r w:rsidRPr="00824BC0">
              <w:rPr>
                <w:rFonts w:ascii="Times New Roman" w:hAnsi="Times New Roman" w:cs="Times New Roman"/>
                <w:b/>
                <w:bCs/>
                <w:sz w:val="24"/>
                <w:szCs w:val="24"/>
                <w:lang w:eastAsia="en-PH"/>
              </w:rPr>
              <w:t xml:space="preserve"> Per Post-Audit (Actual OR's) </w:t>
            </w:r>
          </w:p>
        </w:tc>
        <w:tc>
          <w:tcPr>
            <w:tcW w:w="1530" w:type="dxa"/>
            <w:vMerge/>
            <w:hideMark/>
          </w:tcPr>
          <w:p w14:paraId="478E4247" w14:textId="77777777" w:rsidR="00724259" w:rsidRPr="00824BC0" w:rsidRDefault="00724259" w:rsidP="00724259">
            <w:pPr>
              <w:rPr>
                <w:rFonts w:ascii="Times New Roman" w:hAnsi="Times New Roman" w:cs="Times New Roman"/>
                <w:b/>
                <w:bCs/>
                <w:sz w:val="24"/>
                <w:szCs w:val="24"/>
                <w:lang w:eastAsia="en-PH"/>
              </w:rPr>
            </w:pPr>
          </w:p>
        </w:tc>
      </w:tr>
      <w:tr w:rsidR="00724259" w:rsidRPr="00824BC0" w14:paraId="3605D17A" w14:textId="77777777" w:rsidTr="00A94951">
        <w:trPr>
          <w:trHeight w:val="255"/>
        </w:trPr>
        <w:tc>
          <w:tcPr>
            <w:tcW w:w="1350" w:type="dxa"/>
            <w:noWrap/>
            <w:hideMark/>
          </w:tcPr>
          <w:p w14:paraId="626DD61C" w14:textId="0E781274" w:rsidR="00724259" w:rsidRPr="00824BC0" w:rsidRDefault="00133E63" w:rsidP="00724259">
            <w:pPr>
              <w:rPr>
                <w:rFonts w:ascii="Times New Roman" w:hAnsi="Times New Roman" w:cs="Times New Roman"/>
                <w:sz w:val="24"/>
                <w:szCs w:val="24"/>
                <w:lang w:eastAsia="en-PH"/>
              </w:rPr>
            </w:pPr>
            <w:r w:rsidRPr="00824BC0">
              <w:rPr>
                <w:rFonts w:ascii="Times New Roman" w:hAnsi="Times New Roman" w:cs="Times New Roman"/>
                <w:sz w:val="24"/>
                <w:szCs w:val="24"/>
                <w:lang w:eastAsia="en-PH"/>
              </w:rPr>
              <w:t>0</w:t>
            </w:r>
            <w:r w:rsidR="00724259" w:rsidRPr="00824BC0">
              <w:rPr>
                <w:rFonts w:ascii="Times New Roman" w:hAnsi="Times New Roman" w:cs="Times New Roman"/>
                <w:sz w:val="24"/>
                <w:szCs w:val="24"/>
                <w:lang w:eastAsia="en-PH"/>
              </w:rPr>
              <w:t>6/26/2021</w:t>
            </w:r>
          </w:p>
        </w:tc>
        <w:tc>
          <w:tcPr>
            <w:tcW w:w="1260" w:type="dxa"/>
            <w:noWrap/>
            <w:hideMark/>
          </w:tcPr>
          <w:p w14:paraId="2ABBCF42" w14:textId="77777777" w:rsidR="00724259" w:rsidRPr="00824BC0" w:rsidRDefault="00724259" w:rsidP="00724259">
            <w:pPr>
              <w:jc w:val="center"/>
              <w:rPr>
                <w:rFonts w:ascii="Times New Roman" w:hAnsi="Times New Roman" w:cs="Times New Roman"/>
                <w:sz w:val="24"/>
                <w:szCs w:val="24"/>
                <w:lang w:eastAsia="en-PH"/>
              </w:rPr>
            </w:pPr>
            <w:r w:rsidRPr="00824BC0">
              <w:rPr>
                <w:rFonts w:ascii="Times New Roman" w:hAnsi="Times New Roman" w:cs="Times New Roman"/>
                <w:sz w:val="24"/>
                <w:szCs w:val="24"/>
                <w:lang w:eastAsia="en-PH"/>
              </w:rPr>
              <w:t>0271348</w:t>
            </w:r>
          </w:p>
        </w:tc>
        <w:tc>
          <w:tcPr>
            <w:tcW w:w="1080" w:type="dxa"/>
            <w:noWrap/>
            <w:hideMark/>
          </w:tcPr>
          <w:p w14:paraId="020ADDB7" w14:textId="77777777" w:rsidR="00724259" w:rsidRPr="00824BC0" w:rsidRDefault="00724259" w:rsidP="00724259">
            <w:pPr>
              <w:jc w:val="center"/>
              <w:rPr>
                <w:rFonts w:ascii="Times New Roman" w:hAnsi="Times New Roman" w:cs="Times New Roman"/>
                <w:sz w:val="24"/>
                <w:szCs w:val="24"/>
                <w:lang w:eastAsia="en-PH"/>
              </w:rPr>
            </w:pPr>
            <w:r w:rsidRPr="00824BC0">
              <w:rPr>
                <w:rFonts w:ascii="Times New Roman" w:hAnsi="Times New Roman" w:cs="Times New Roman"/>
                <w:sz w:val="24"/>
                <w:szCs w:val="24"/>
                <w:lang w:eastAsia="en-PH"/>
              </w:rPr>
              <w:t>0271527</w:t>
            </w:r>
          </w:p>
        </w:tc>
        <w:tc>
          <w:tcPr>
            <w:tcW w:w="1710" w:type="dxa"/>
            <w:noWrap/>
            <w:hideMark/>
          </w:tcPr>
          <w:p w14:paraId="75E85493" w14:textId="77777777" w:rsidR="00724259" w:rsidRPr="00824BC0" w:rsidRDefault="00724259" w:rsidP="00724259">
            <w:pPr>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   461,945.00 </w:t>
            </w:r>
          </w:p>
        </w:tc>
        <w:tc>
          <w:tcPr>
            <w:tcW w:w="1710" w:type="dxa"/>
            <w:noWrap/>
            <w:hideMark/>
          </w:tcPr>
          <w:p w14:paraId="6D0173DA" w14:textId="77777777" w:rsidR="00724259" w:rsidRPr="00824BC0" w:rsidRDefault="00724259" w:rsidP="00724259">
            <w:pPr>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   478,390.00 </w:t>
            </w:r>
          </w:p>
        </w:tc>
        <w:tc>
          <w:tcPr>
            <w:tcW w:w="1530" w:type="dxa"/>
            <w:noWrap/>
            <w:hideMark/>
          </w:tcPr>
          <w:p w14:paraId="6BC66B0D" w14:textId="77777777" w:rsidR="00724259" w:rsidRPr="00824BC0" w:rsidRDefault="00724259" w:rsidP="00724259">
            <w:pPr>
              <w:jc w:val="right"/>
              <w:rPr>
                <w:rFonts w:ascii="Times New Roman" w:hAnsi="Times New Roman" w:cs="Times New Roman"/>
                <w:b/>
                <w:bCs/>
                <w:sz w:val="24"/>
                <w:szCs w:val="24"/>
                <w:lang w:eastAsia="en-PH"/>
              </w:rPr>
            </w:pPr>
            <w:r w:rsidRPr="00824BC0">
              <w:rPr>
                <w:rFonts w:ascii="Times New Roman" w:hAnsi="Times New Roman" w:cs="Times New Roman"/>
                <w:b/>
                <w:bCs/>
                <w:sz w:val="24"/>
                <w:szCs w:val="24"/>
                <w:lang w:eastAsia="en-PH"/>
              </w:rPr>
              <w:t xml:space="preserve">(₱16,445.00) </w:t>
            </w:r>
          </w:p>
        </w:tc>
      </w:tr>
      <w:tr w:rsidR="00724259" w:rsidRPr="00824BC0" w14:paraId="14F60F3F" w14:textId="77777777" w:rsidTr="00A94951">
        <w:trPr>
          <w:trHeight w:val="255"/>
        </w:trPr>
        <w:tc>
          <w:tcPr>
            <w:tcW w:w="1350" w:type="dxa"/>
            <w:noWrap/>
            <w:hideMark/>
          </w:tcPr>
          <w:p w14:paraId="184203A0" w14:textId="77777777" w:rsidR="00724259" w:rsidRPr="00824BC0" w:rsidRDefault="00724259" w:rsidP="00724259">
            <w:pPr>
              <w:rPr>
                <w:rFonts w:ascii="Times New Roman" w:hAnsi="Times New Roman" w:cs="Times New Roman"/>
                <w:sz w:val="24"/>
                <w:szCs w:val="24"/>
                <w:lang w:eastAsia="en-PH"/>
              </w:rPr>
            </w:pPr>
            <w:r w:rsidRPr="00824BC0">
              <w:rPr>
                <w:rFonts w:ascii="Times New Roman" w:hAnsi="Times New Roman" w:cs="Times New Roman"/>
                <w:sz w:val="24"/>
                <w:szCs w:val="24"/>
                <w:lang w:eastAsia="en-PH"/>
              </w:rPr>
              <w:t>08/21/2021</w:t>
            </w:r>
          </w:p>
        </w:tc>
        <w:tc>
          <w:tcPr>
            <w:tcW w:w="1260" w:type="dxa"/>
            <w:noWrap/>
            <w:hideMark/>
          </w:tcPr>
          <w:p w14:paraId="3791BD7C" w14:textId="77777777" w:rsidR="00724259" w:rsidRPr="00824BC0" w:rsidRDefault="00724259" w:rsidP="00724259">
            <w:pPr>
              <w:jc w:val="center"/>
              <w:rPr>
                <w:rFonts w:ascii="Times New Roman" w:hAnsi="Times New Roman" w:cs="Times New Roman"/>
                <w:sz w:val="24"/>
                <w:szCs w:val="24"/>
                <w:lang w:eastAsia="en-PH"/>
              </w:rPr>
            </w:pPr>
            <w:r w:rsidRPr="00824BC0">
              <w:rPr>
                <w:rFonts w:ascii="Times New Roman" w:hAnsi="Times New Roman" w:cs="Times New Roman"/>
                <w:sz w:val="24"/>
                <w:szCs w:val="24"/>
                <w:lang w:eastAsia="en-PH"/>
              </w:rPr>
              <w:t>271823</w:t>
            </w:r>
          </w:p>
        </w:tc>
        <w:tc>
          <w:tcPr>
            <w:tcW w:w="1080" w:type="dxa"/>
            <w:noWrap/>
            <w:hideMark/>
          </w:tcPr>
          <w:p w14:paraId="6D1F05E7" w14:textId="77777777" w:rsidR="00724259" w:rsidRPr="00824BC0" w:rsidRDefault="00724259" w:rsidP="00724259">
            <w:pPr>
              <w:jc w:val="center"/>
              <w:rPr>
                <w:rFonts w:ascii="Times New Roman" w:hAnsi="Times New Roman" w:cs="Times New Roman"/>
                <w:sz w:val="24"/>
                <w:szCs w:val="24"/>
                <w:lang w:eastAsia="en-PH"/>
              </w:rPr>
            </w:pPr>
            <w:r w:rsidRPr="00824BC0">
              <w:rPr>
                <w:rFonts w:ascii="Times New Roman" w:hAnsi="Times New Roman" w:cs="Times New Roman"/>
                <w:sz w:val="24"/>
                <w:szCs w:val="24"/>
                <w:lang w:eastAsia="en-PH"/>
              </w:rPr>
              <w:t>272049</w:t>
            </w:r>
          </w:p>
        </w:tc>
        <w:tc>
          <w:tcPr>
            <w:tcW w:w="1710" w:type="dxa"/>
            <w:noWrap/>
            <w:hideMark/>
          </w:tcPr>
          <w:p w14:paraId="5A32502C" w14:textId="77777777" w:rsidR="00724259" w:rsidRPr="00824BC0" w:rsidRDefault="00724259" w:rsidP="00724259">
            <w:pPr>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879,035.00 </w:t>
            </w:r>
          </w:p>
        </w:tc>
        <w:tc>
          <w:tcPr>
            <w:tcW w:w="1710" w:type="dxa"/>
            <w:noWrap/>
            <w:hideMark/>
          </w:tcPr>
          <w:p w14:paraId="573A9F7E" w14:textId="77777777" w:rsidR="00724259" w:rsidRPr="00824BC0" w:rsidRDefault="00724259" w:rsidP="00724259">
            <w:pPr>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 884,260.00 </w:t>
            </w:r>
          </w:p>
        </w:tc>
        <w:tc>
          <w:tcPr>
            <w:tcW w:w="1530" w:type="dxa"/>
            <w:noWrap/>
            <w:hideMark/>
          </w:tcPr>
          <w:p w14:paraId="7F059A1C" w14:textId="77777777" w:rsidR="00724259" w:rsidRPr="00824BC0" w:rsidRDefault="00724259" w:rsidP="00724259">
            <w:pPr>
              <w:jc w:val="right"/>
              <w:rPr>
                <w:rFonts w:ascii="Times New Roman" w:hAnsi="Times New Roman" w:cs="Times New Roman"/>
                <w:b/>
                <w:bCs/>
                <w:sz w:val="24"/>
                <w:szCs w:val="24"/>
                <w:lang w:eastAsia="en-PH"/>
              </w:rPr>
            </w:pPr>
            <w:r w:rsidRPr="00824BC0">
              <w:rPr>
                <w:rFonts w:ascii="Times New Roman" w:hAnsi="Times New Roman" w:cs="Times New Roman"/>
                <w:b/>
                <w:bCs/>
                <w:sz w:val="24"/>
                <w:szCs w:val="24"/>
                <w:lang w:eastAsia="en-PH"/>
              </w:rPr>
              <w:t>(5,225.00)</w:t>
            </w:r>
          </w:p>
        </w:tc>
      </w:tr>
      <w:tr w:rsidR="00724259" w:rsidRPr="00824BC0" w14:paraId="632B0D1E" w14:textId="77777777" w:rsidTr="00A94951">
        <w:trPr>
          <w:trHeight w:val="255"/>
        </w:trPr>
        <w:tc>
          <w:tcPr>
            <w:tcW w:w="1350" w:type="dxa"/>
            <w:noWrap/>
            <w:hideMark/>
          </w:tcPr>
          <w:p w14:paraId="3EB3AD18" w14:textId="5182C93D" w:rsidR="00724259" w:rsidRPr="00824BC0" w:rsidRDefault="00A94951" w:rsidP="00A94951">
            <w:pPr>
              <w:rPr>
                <w:rFonts w:ascii="Times New Roman" w:hAnsi="Times New Roman" w:cs="Times New Roman"/>
                <w:sz w:val="24"/>
                <w:szCs w:val="24"/>
                <w:lang w:eastAsia="en-PH"/>
              </w:rPr>
            </w:pPr>
            <w:r w:rsidRPr="00824BC0">
              <w:rPr>
                <w:rFonts w:ascii="Times New Roman" w:hAnsi="Times New Roman" w:cs="Times New Roman"/>
                <w:sz w:val="24"/>
                <w:szCs w:val="24"/>
                <w:lang w:eastAsia="en-PH"/>
              </w:rPr>
              <w:t>07/15/</w:t>
            </w:r>
            <w:r w:rsidR="00724259" w:rsidRPr="00824BC0">
              <w:rPr>
                <w:rFonts w:ascii="Times New Roman" w:hAnsi="Times New Roman" w:cs="Times New Roman"/>
                <w:sz w:val="24"/>
                <w:szCs w:val="24"/>
                <w:lang w:eastAsia="en-PH"/>
              </w:rPr>
              <w:t>2021</w:t>
            </w:r>
          </w:p>
        </w:tc>
        <w:tc>
          <w:tcPr>
            <w:tcW w:w="1260" w:type="dxa"/>
            <w:noWrap/>
            <w:hideMark/>
          </w:tcPr>
          <w:p w14:paraId="0E0436F5" w14:textId="77777777" w:rsidR="00724259" w:rsidRPr="00824BC0" w:rsidRDefault="00724259" w:rsidP="00724259">
            <w:pPr>
              <w:jc w:val="center"/>
              <w:rPr>
                <w:rFonts w:ascii="Times New Roman" w:hAnsi="Times New Roman" w:cs="Times New Roman"/>
                <w:sz w:val="24"/>
                <w:szCs w:val="24"/>
                <w:lang w:eastAsia="en-PH"/>
              </w:rPr>
            </w:pPr>
            <w:r w:rsidRPr="00824BC0">
              <w:rPr>
                <w:rFonts w:ascii="Times New Roman" w:hAnsi="Times New Roman" w:cs="Times New Roman"/>
                <w:sz w:val="24"/>
                <w:szCs w:val="24"/>
                <w:lang w:eastAsia="en-PH"/>
              </w:rPr>
              <w:t>271793</w:t>
            </w:r>
          </w:p>
        </w:tc>
        <w:tc>
          <w:tcPr>
            <w:tcW w:w="1080" w:type="dxa"/>
            <w:noWrap/>
            <w:hideMark/>
          </w:tcPr>
          <w:p w14:paraId="52BD022F" w14:textId="77777777" w:rsidR="00724259" w:rsidRPr="00824BC0" w:rsidRDefault="00724259" w:rsidP="00724259">
            <w:pPr>
              <w:jc w:val="center"/>
              <w:rPr>
                <w:rFonts w:ascii="Times New Roman" w:hAnsi="Times New Roman" w:cs="Times New Roman"/>
                <w:sz w:val="24"/>
                <w:szCs w:val="24"/>
                <w:lang w:eastAsia="en-PH"/>
              </w:rPr>
            </w:pPr>
            <w:r w:rsidRPr="00824BC0">
              <w:rPr>
                <w:rFonts w:ascii="Times New Roman" w:hAnsi="Times New Roman" w:cs="Times New Roman"/>
                <w:sz w:val="24"/>
                <w:szCs w:val="24"/>
                <w:lang w:eastAsia="en-PH"/>
              </w:rPr>
              <w:t>271813</w:t>
            </w:r>
          </w:p>
        </w:tc>
        <w:tc>
          <w:tcPr>
            <w:tcW w:w="1710" w:type="dxa"/>
            <w:noWrap/>
            <w:hideMark/>
          </w:tcPr>
          <w:p w14:paraId="3809B338" w14:textId="77777777" w:rsidR="00724259" w:rsidRPr="00824BC0" w:rsidRDefault="00724259" w:rsidP="00724259">
            <w:pPr>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513,760.00 </w:t>
            </w:r>
          </w:p>
        </w:tc>
        <w:tc>
          <w:tcPr>
            <w:tcW w:w="1710" w:type="dxa"/>
            <w:noWrap/>
            <w:hideMark/>
          </w:tcPr>
          <w:p w14:paraId="672D45A1" w14:textId="77777777" w:rsidR="00724259" w:rsidRPr="00824BC0" w:rsidRDefault="00724259" w:rsidP="00724259">
            <w:pPr>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 xml:space="preserve">   513,740.00 </w:t>
            </w:r>
          </w:p>
        </w:tc>
        <w:tc>
          <w:tcPr>
            <w:tcW w:w="1530" w:type="dxa"/>
            <w:noWrap/>
            <w:hideMark/>
          </w:tcPr>
          <w:p w14:paraId="4ED52CF8" w14:textId="77777777" w:rsidR="00724259" w:rsidRPr="00824BC0" w:rsidRDefault="00724259" w:rsidP="00724259">
            <w:pPr>
              <w:ind w:right="73"/>
              <w:jc w:val="right"/>
              <w:rPr>
                <w:rFonts w:ascii="Times New Roman" w:hAnsi="Times New Roman" w:cs="Times New Roman"/>
                <w:b/>
                <w:bCs/>
                <w:sz w:val="24"/>
                <w:szCs w:val="24"/>
                <w:lang w:eastAsia="en-PH"/>
              </w:rPr>
            </w:pPr>
            <w:r w:rsidRPr="00824BC0">
              <w:rPr>
                <w:rFonts w:ascii="Times New Roman" w:hAnsi="Times New Roman" w:cs="Times New Roman"/>
                <w:b/>
                <w:bCs/>
                <w:sz w:val="24"/>
                <w:szCs w:val="24"/>
                <w:lang w:eastAsia="en-PH"/>
              </w:rPr>
              <w:t xml:space="preserve">20.00 </w:t>
            </w:r>
          </w:p>
        </w:tc>
      </w:tr>
      <w:tr w:rsidR="00724259" w:rsidRPr="00824BC0" w14:paraId="29DE68CD" w14:textId="77777777" w:rsidTr="00A94951">
        <w:trPr>
          <w:trHeight w:val="255"/>
        </w:trPr>
        <w:tc>
          <w:tcPr>
            <w:tcW w:w="3690" w:type="dxa"/>
            <w:gridSpan w:val="3"/>
            <w:noWrap/>
          </w:tcPr>
          <w:p w14:paraId="05A32EBD" w14:textId="77777777" w:rsidR="00724259" w:rsidRPr="00824BC0" w:rsidRDefault="00724259" w:rsidP="00724259">
            <w:pPr>
              <w:jc w:val="center"/>
              <w:rPr>
                <w:rFonts w:ascii="Times New Roman" w:hAnsi="Times New Roman" w:cs="Times New Roman"/>
                <w:b/>
                <w:bCs/>
                <w:sz w:val="24"/>
                <w:szCs w:val="24"/>
                <w:lang w:eastAsia="en-PH"/>
              </w:rPr>
            </w:pPr>
            <w:r w:rsidRPr="00824BC0">
              <w:rPr>
                <w:rFonts w:ascii="Times New Roman" w:hAnsi="Times New Roman" w:cs="Times New Roman"/>
                <w:b/>
                <w:bCs/>
                <w:sz w:val="24"/>
                <w:szCs w:val="24"/>
                <w:lang w:eastAsia="en-PH"/>
              </w:rPr>
              <w:t>TOTAL</w:t>
            </w:r>
          </w:p>
        </w:tc>
        <w:tc>
          <w:tcPr>
            <w:tcW w:w="1710" w:type="dxa"/>
            <w:noWrap/>
          </w:tcPr>
          <w:p w14:paraId="6044BF48" w14:textId="77777777" w:rsidR="00724259" w:rsidRPr="00824BC0" w:rsidRDefault="00724259" w:rsidP="00724259">
            <w:pPr>
              <w:jc w:val="right"/>
              <w:rPr>
                <w:rFonts w:ascii="Times New Roman" w:hAnsi="Times New Roman" w:cs="Times New Roman"/>
                <w:b/>
                <w:bCs/>
                <w:sz w:val="24"/>
                <w:szCs w:val="24"/>
                <w:lang w:eastAsia="en-PH"/>
              </w:rPr>
            </w:pPr>
            <w:r w:rsidRPr="00824BC0">
              <w:rPr>
                <w:rFonts w:ascii="Times New Roman" w:hAnsi="Times New Roman" w:cs="Times New Roman"/>
                <w:b/>
                <w:bCs/>
                <w:sz w:val="24"/>
                <w:szCs w:val="24"/>
                <w:lang w:eastAsia="en-PH"/>
              </w:rPr>
              <w:t>₱1,854,740.00</w:t>
            </w:r>
          </w:p>
        </w:tc>
        <w:tc>
          <w:tcPr>
            <w:tcW w:w="1710" w:type="dxa"/>
            <w:noWrap/>
          </w:tcPr>
          <w:p w14:paraId="486B16F4" w14:textId="77777777" w:rsidR="00724259" w:rsidRPr="00824BC0" w:rsidRDefault="00724259" w:rsidP="00724259">
            <w:pPr>
              <w:jc w:val="right"/>
              <w:rPr>
                <w:rFonts w:ascii="Times New Roman" w:hAnsi="Times New Roman" w:cs="Times New Roman"/>
                <w:b/>
                <w:bCs/>
                <w:sz w:val="24"/>
                <w:szCs w:val="24"/>
                <w:lang w:eastAsia="en-PH"/>
              </w:rPr>
            </w:pPr>
            <w:r w:rsidRPr="00824BC0">
              <w:rPr>
                <w:rFonts w:ascii="Times New Roman" w:hAnsi="Times New Roman" w:cs="Times New Roman"/>
                <w:b/>
                <w:bCs/>
                <w:sz w:val="24"/>
                <w:szCs w:val="24"/>
                <w:lang w:eastAsia="en-PH"/>
              </w:rPr>
              <w:t>₱1,876,390.00</w:t>
            </w:r>
          </w:p>
        </w:tc>
        <w:tc>
          <w:tcPr>
            <w:tcW w:w="1530" w:type="dxa"/>
            <w:noWrap/>
          </w:tcPr>
          <w:p w14:paraId="4F5C7AC3" w14:textId="77777777" w:rsidR="00724259" w:rsidRPr="00824BC0" w:rsidRDefault="00724259" w:rsidP="00724259">
            <w:pPr>
              <w:jc w:val="right"/>
              <w:rPr>
                <w:rFonts w:ascii="Times New Roman" w:hAnsi="Times New Roman" w:cs="Times New Roman"/>
                <w:b/>
                <w:bCs/>
                <w:sz w:val="24"/>
                <w:szCs w:val="24"/>
                <w:lang w:eastAsia="en-PH"/>
              </w:rPr>
            </w:pPr>
            <w:r w:rsidRPr="00824BC0">
              <w:rPr>
                <w:rFonts w:ascii="Times New Roman" w:hAnsi="Times New Roman" w:cs="Times New Roman"/>
                <w:b/>
                <w:bCs/>
                <w:sz w:val="24"/>
                <w:szCs w:val="24"/>
                <w:lang w:eastAsia="en-PH"/>
              </w:rPr>
              <w:t>(₱21,650.00)</w:t>
            </w:r>
          </w:p>
        </w:tc>
      </w:tr>
    </w:tbl>
    <w:p w14:paraId="546751C5" w14:textId="77777777" w:rsidR="00724259" w:rsidRPr="00824BC0" w:rsidRDefault="00724259" w:rsidP="00724259">
      <w:pPr>
        <w:spacing w:after="0" w:line="240" w:lineRule="auto"/>
        <w:jc w:val="both"/>
        <w:rPr>
          <w:rFonts w:ascii="Times New Roman" w:hAnsi="Times New Roman" w:cs="Times New Roman"/>
          <w:sz w:val="24"/>
          <w:szCs w:val="24"/>
        </w:rPr>
      </w:pPr>
    </w:p>
    <w:p w14:paraId="3FE22137" w14:textId="1474B662" w:rsidR="00B74571" w:rsidRPr="00824BC0" w:rsidRDefault="00724259" w:rsidP="00B74571">
      <w:pPr>
        <w:pStyle w:val="ListParagraph"/>
        <w:numPr>
          <w:ilvl w:val="1"/>
          <w:numId w:val="5"/>
        </w:numPr>
        <w:ind w:left="0" w:firstLine="0"/>
        <w:jc w:val="both"/>
        <w:rPr>
          <w:szCs w:val="24"/>
        </w:rPr>
      </w:pPr>
      <w:r w:rsidRPr="00824BC0">
        <w:rPr>
          <w:szCs w:val="24"/>
        </w:rPr>
        <w:t xml:space="preserve">Since the Cashier erroneously reported the amount of fees collected by the College in the DCR, the amount forwarded to the Accounting Office was likewise inaccurate. As such, the reliability of the </w:t>
      </w:r>
      <w:r w:rsidR="00B370E6" w:rsidRPr="00824BC0">
        <w:rPr>
          <w:szCs w:val="24"/>
        </w:rPr>
        <w:t>C</w:t>
      </w:r>
      <w:r w:rsidRPr="00824BC0">
        <w:rPr>
          <w:szCs w:val="24"/>
        </w:rPr>
        <w:t xml:space="preserve">ash account balance presented in the FS as of December 31, 2021 was deemed doubtful. </w:t>
      </w:r>
      <w:r w:rsidR="000A78D6" w:rsidRPr="00824BC0">
        <w:rPr>
          <w:szCs w:val="24"/>
        </w:rPr>
        <w:t xml:space="preserve">Referring to the table in </w:t>
      </w:r>
      <w:r w:rsidR="005B3C88" w:rsidRPr="00824BC0">
        <w:rPr>
          <w:szCs w:val="24"/>
        </w:rPr>
        <w:t>P</w:t>
      </w:r>
      <w:r w:rsidR="00CF7DE6" w:rsidRPr="00824BC0">
        <w:rPr>
          <w:szCs w:val="24"/>
        </w:rPr>
        <w:t xml:space="preserve">aragraph </w:t>
      </w:r>
      <w:r w:rsidR="005B3C88" w:rsidRPr="00824BC0">
        <w:rPr>
          <w:szCs w:val="24"/>
        </w:rPr>
        <w:t>N</w:t>
      </w:r>
      <w:r w:rsidR="00CF7DE6" w:rsidRPr="00824BC0">
        <w:rPr>
          <w:szCs w:val="24"/>
        </w:rPr>
        <w:t xml:space="preserve">o. </w:t>
      </w:r>
      <w:r w:rsidR="000A78D6" w:rsidRPr="00824BC0">
        <w:rPr>
          <w:szCs w:val="24"/>
        </w:rPr>
        <w:t xml:space="preserve">6.10, there was an over-deposit of </w:t>
      </w:r>
      <w:r w:rsidR="00CF7DE6" w:rsidRPr="00824BC0">
        <w:rPr>
          <w:szCs w:val="24"/>
        </w:rPr>
        <w:t>₱</w:t>
      </w:r>
      <w:r w:rsidR="000A78D6" w:rsidRPr="00824BC0">
        <w:rPr>
          <w:szCs w:val="24"/>
        </w:rPr>
        <w:t xml:space="preserve">20.00 carried in the books for the month of July 2021. </w:t>
      </w:r>
      <w:r w:rsidRPr="00824BC0">
        <w:rPr>
          <w:szCs w:val="24"/>
        </w:rPr>
        <w:t>Co</w:t>
      </w:r>
      <w:r w:rsidR="000A78D6" w:rsidRPr="00824BC0">
        <w:rPr>
          <w:szCs w:val="24"/>
        </w:rPr>
        <w:t>nsidering</w:t>
      </w:r>
      <w:r w:rsidR="00F87199" w:rsidRPr="00824BC0">
        <w:rPr>
          <w:szCs w:val="24"/>
        </w:rPr>
        <w:t xml:space="preserve"> </w:t>
      </w:r>
      <w:r w:rsidR="00B74571" w:rsidRPr="00824BC0">
        <w:rPr>
          <w:szCs w:val="24"/>
        </w:rPr>
        <w:t>the</w:t>
      </w:r>
      <w:r w:rsidR="000A78D6" w:rsidRPr="00824BC0">
        <w:rPr>
          <w:szCs w:val="24"/>
        </w:rPr>
        <w:t xml:space="preserve"> misrepresentation</w:t>
      </w:r>
      <w:r w:rsidR="00A744E2" w:rsidRPr="00824BC0">
        <w:rPr>
          <w:szCs w:val="24"/>
        </w:rPr>
        <w:t>s</w:t>
      </w:r>
      <w:r w:rsidR="000A78D6" w:rsidRPr="00824BC0">
        <w:rPr>
          <w:szCs w:val="24"/>
        </w:rPr>
        <w:t xml:space="preserve"> in the </w:t>
      </w:r>
      <w:r w:rsidR="00F87199" w:rsidRPr="00824BC0">
        <w:rPr>
          <w:szCs w:val="24"/>
        </w:rPr>
        <w:t xml:space="preserve">DCR </w:t>
      </w:r>
      <w:r w:rsidR="000A78D6" w:rsidRPr="00824BC0">
        <w:rPr>
          <w:szCs w:val="24"/>
        </w:rPr>
        <w:t xml:space="preserve">prepared by the Cashier in </w:t>
      </w:r>
      <w:r w:rsidRPr="00824BC0">
        <w:rPr>
          <w:szCs w:val="24"/>
        </w:rPr>
        <w:t>CY 2021</w:t>
      </w:r>
      <w:r w:rsidR="000A78D6" w:rsidRPr="00824BC0">
        <w:rPr>
          <w:szCs w:val="24"/>
        </w:rPr>
        <w:t>, the income</w:t>
      </w:r>
      <w:r w:rsidRPr="00824BC0">
        <w:rPr>
          <w:szCs w:val="24"/>
        </w:rPr>
        <w:t xml:space="preserve"> was understated</w:t>
      </w:r>
      <w:r w:rsidR="00A94951" w:rsidRPr="00824BC0">
        <w:rPr>
          <w:szCs w:val="24"/>
        </w:rPr>
        <w:t xml:space="preserve"> by</w:t>
      </w:r>
      <w:r w:rsidR="000A78D6" w:rsidRPr="00824BC0">
        <w:rPr>
          <w:szCs w:val="24"/>
        </w:rPr>
        <w:t xml:space="preserve"> a total amount of</w:t>
      </w:r>
      <w:r w:rsidR="00A94951" w:rsidRPr="00824BC0">
        <w:rPr>
          <w:szCs w:val="24"/>
        </w:rPr>
        <w:t xml:space="preserve"> ₱21,</w:t>
      </w:r>
      <w:r w:rsidR="000C41EB" w:rsidRPr="00824BC0">
        <w:rPr>
          <w:szCs w:val="24"/>
        </w:rPr>
        <w:t>430.00</w:t>
      </w:r>
      <w:r w:rsidR="00B74571" w:rsidRPr="00824BC0">
        <w:rPr>
          <w:szCs w:val="24"/>
        </w:rPr>
        <w:t xml:space="preserve">, as summarized </w:t>
      </w:r>
      <w:r w:rsidR="000D6661" w:rsidRPr="00824BC0">
        <w:rPr>
          <w:szCs w:val="24"/>
        </w:rPr>
        <w:t>in the following table</w:t>
      </w:r>
      <w:r w:rsidR="00B74571" w:rsidRPr="00824BC0">
        <w:rPr>
          <w:szCs w:val="24"/>
        </w:rPr>
        <w:t>:</w:t>
      </w:r>
    </w:p>
    <w:p w14:paraId="61BAA066" w14:textId="49F5996A" w:rsidR="00A744E2" w:rsidRPr="00824BC0" w:rsidRDefault="00A744E2" w:rsidP="00A744E2">
      <w:pPr>
        <w:pStyle w:val="ListParagraph"/>
        <w:ind w:left="0"/>
        <w:jc w:val="both"/>
        <w:rPr>
          <w:szCs w:val="24"/>
        </w:rPr>
      </w:pPr>
    </w:p>
    <w:p w14:paraId="6E0B47D4" w14:textId="77777777" w:rsidR="000D6661" w:rsidRPr="00824BC0" w:rsidRDefault="000D6661" w:rsidP="00A744E2">
      <w:pPr>
        <w:pStyle w:val="ListParagraph"/>
        <w:ind w:left="0"/>
        <w:jc w:val="both"/>
        <w:rPr>
          <w:szCs w:val="24"/>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559"/>
        <w:gridCol w:w="1564"/>
      </w:tblGrid>
      <w:tr w:rsidR="00B74571" w:rsidRPr="00824BC0" w14:paraId="1C481B9C" w14:textId="77777777" w:rsidTr="00A744E2">
        <w:trPr>
          <w:trHeight w:val="510"/>
        </w:trPr>
        <w:tc>
          <w:tcPr>
            <w:tcW w:w="5524" w:type="dxa"/>
            <w:shd w:val="clear" w:color="auto" w:fill="auto"/>
            <w:vAlign w:val="center"/>
            <w:hideMark/>
          </w:tcPr>
          <w:p w14:paraId="4EC72F29" w14:textId="77777777" w:rsidR="00B74571" w:rsidRPr="00824BC0" w:rsidRDefault="00B74571" w:rsidP="00B74571">
            <w:pPr>
              <w:spacing w:after="0" w:line="240" w:lineRule="auto"/>
              <w:jc w:val="center"/>
              <w:rPr>
                <w:rFonts w:ascii="Times New Roman" w:eastAsia="Times New Roman" w:hAnsi="Times New Roman" w:cs="Times New Roman"/>
                <w:b/>
                <w:bCs/>
                <w:color w:val="000000"/>
                <w:lang w:eastAsia="en-PH"/>
              </w:rPr>
            </w:pPr>
            <w:r w:rsidRPr="00824BC0">
              <w:rPr>
                <w:rFonts w:ascii="Times New Roman" w:eastAsia="Times New Roman" w:hAnsi="Times New Roman" w:cs="Times New Roman"/>
                <w:b/>
                <w:bCs/>
                <w:color w:val="000000"/>
                <w:lang w:eastAsia="en-PH"/>
              </w:rPr>
              <w:lastRenderedPageBreak/>
              <w:t>Particulars</w:t>
            </w:r>
          </w:p>
        </w:tc>
        <w:tc>
          <w:tcPr>
            <w:tcW w:w="1559" w:type="dxa"/>
            <w:shd w:val="clear" w:color="auto" w:fill="auto"/>
            <w:vAlign w:val="center"/>
            <w:hideMark/>
          </w:tcPr>
          <w:p w14:paraId="4A690D8A" w14:textId="77777777" w:rsidR="00B74571" w:rsidRPr="00824BC0" w:rsidRDefault="00B74571" w:rsidP="00B74571">
            <w:pPr>
              <w:spacing w:after="0" w:line="240" w:lineRule="auto"/>
              <w:jc w:val="center"/>
              <w:rPr>
                <w:rFonts w:ascii="Times New Roman" w:eastAsia="Times New Roman" w:hAnsi="Times New Roman" w:cs="Times New Roman"/>
                <w:b/>
                <w:bCs/>
                <w:color w:val="000000"/>
                <w:lang w:eastAsia="en-PH"/>
              </w:rPr>
            </w:pPr>
            <w:r w:rsidRPr="00824BC0">
              <w:rPr>
                <w:rFonts w:ascii="Times New Roman" w:eastAsia="Times New Roman" w:hAnsi="Times New Roman" w:cs="Times New Roman"/>
                <w:b/>
                <w:bCs/>
                <w:color w:val="000000"/>
                <w:lang w:eastAsia="en-PH"/>
              </w:rPr>
              <w:t xml:space="preserve"> Amount </w:t>
            </w:r>
          </w:p>
        </w:tc>
        <w:tc>
          <w:tcPr>
            <w:tcW w:w="1564" w:type="dxa"/>
            <w:shd w:val="clear" w:color="auto" w:fill="auto"/>
            <w:vAlign w:val="center"/>
            <w:hideMark/>
          </w:tcPr>
          <w:p w14:paraId="3B393236" w14:textId="6B711D0B" w:rsidR="00B74571" w:rsidRPr="00824BC0" w:rsidRDefault="00B74571" w:rsidP="00B74571">
            <w:pPr>
              <w:spacing w:after="0" w:line="240" w:lineRule="auto"/>
              <w:jc w:val="center"/>
              <w:rPr>
                <w:rFonts w:ascii="Times New Roman" w:eastAsia="Times New Roman" w:hAnsi="Times New Roman" w:cs="Times New Roman"/>
                <w:b/>
                <w:bCs/>
                <w:color w:val="000000"/>
                <w:lang w:eastAsia="en-PH"/>
              </w:rPr>
            </w:pPr>
            <w:r w:rsidRPr="00824BC0">
              <w:rPr>
                <w:rFonts w:ascii="Times New Roman" w:eastAsia="Times New Roman" w:hAnsi="Times New Roman" w:cs="Times New Roman"/>
                <w:b/>
                <w:bCs/>
                <w:color w:val="000000"/>
                <w:lang w:eastAsia="en-PH"/>
              </w:rPr>
              <w:t>Effect in Accumulated Surplus</w:t>
            </w:r>
          </w:p>
        </w:tc>
      </w:tr>
      <w:tr w:rsidR="00B74571" w:rsidRPr="00824BC0" w14:paraId="68A07AF4" w14:textId="77777777" w:rsidTr="00A744E2">
        <w:trPr>
          <w:trHeight w:val="201"/>
        </w:trPr>
        <w:tc>
          <w:tcPr>
            <w:tcW w:w="5524" w:type="dxa"/>
            <w:shd w:val="clear" w:color="auto" w:fill="auto"/>
            <w:vAlign w:val="center"/>
            <w:hideMark/>
          </w:tcPr>
          <w:p w14:paraId="1557E8EC" w14:textId="77777777" w:rsidR="00B74571" w:rsidRPr="00824BC0" w:rsidRDefault="00B74571" w:rsidP="00A744E2">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Shortage - Understatement of DCR in June 26, 2021</w:t>
            </w:r>
          </w:p>
        </w:tc>
        <w:tc>
          <w:tcPr>
            <w:tcW w:w="1559" w:type="dxa"/>
            <w:shd w:val="clear" w:color="auto" w:fill="auto"/>
            <w:noWrap/>
            <w:vAlign w:val="bottom"/>
            <w:hideMark/>
          </w:tcPr>
          <w:p w14:paraId="688F5084" w14:textId="59A874BC" w:rsidR="00B74571" w:rsidRPr="00824BC0" w:rsidRDefault="00B74571" w:rsidP="00CF7DE6">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w:t>
            </w:r>
            <w:r w:rsidRPr="00824BC0">
              <w:rPr>
                <w:rFonts w:ascii="Times New Roman" w:hAnsi="Times New Roman" w:cs="Times New Roman"/>
                <w:sz w:val="24"/>
                <w:szCs w:val="24"/>
                <w:lang w:eastAsia="en-PH"/>
              </w:rPr>
              <w:t>₱</w:t>
            </w:r>
            <w:r w:rsidR="00CF7DE6" w:rsidRPr="00824BC0">
              <w:rPr>
                <w:rFonts w:ascii="Times New Roman" w:hAnsi="Times New Roman" w:cs="Times New Roman"/>
                <w:sz w:val="24"/>
                <w:szCs w:val="24"/>
                <w:lang w:eastAsia="en-PH"/>
              </w:rPr>
              <w:t xml:space="preserve"> </w:t>
            </w:r>
            <w:r w:rsidRPr="00824BC0">
              <w:rPr>
                <w:rFonts w:ascii="Times New Roman" w:eastAsia="Times New Roman" w:hAnsi="Times New Roman" w:cs="Times New Roman"/>
                <w:color w:val="000000"/>
                <w:sz w:val="24"/>
                <w:szCs w:val="24"/>
                <w:lang w:eastAsia="en-PH"/>
              </w:rPr>
              <w:t xml:space="preserve"> 16,445.00 </w:t>
            </w:r>
          </w:p>
        </w:tc>
        <w:tc>
          <w:tcPr>
            <w:tcW w:w="1564" w:type="dxa"/>
            <w:shd w:val="clear" w:color="auto" w:fill="auto"/>
            <w:noWrap/>
            <w:vAlign w:val="bottom"/>
            <w:hideMark/>
          </w:tcPr>
          <w:p w14:paraId="5D10CD4A" w14:textId="77777777" w:rsidR="00B74571" w:rsidRPr="00824BC0" w:rsidRDefault="00B74571" w:rsidP="00B74571">
            <w:pPr>
              <w:spacing w:after="0" w:line="240" w:lineRule="auto"/>
              <w:jc w:val="center"/>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Understated</w:t>
            </w:r>
          </w:p>
        </w:tc>
      </w:tr>
      <w:tr w:rsidR="00B74571" w:rsidRPr="00824BC0" w14:paraId="75F86C8B" w14:textId="77777777" w:rsidTr="00A744E2">
        <w:trPr>
          <w:trHeight w:val="205"/>
        </w:trPr>
        <w:tc>
          <w:tcPr>
            <w:tcW w:w="5524" w:type="dxa"/>
            <w:shd w:val="clear" w:color="auto" w:fill="auto"/>
            <w:vAlign w:val="center"/>
            <w:hideMark/>
          </w:tcPr>
          <w:p w14:paraId="6F99D222" w14:textId="77777777" w:rsidR="00B74571" w:rsidRPr="00824BC0" w:rsidRDefault="00B74571" w:rsidP="00A744E2">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Shortage - Understatement of DCR in August 21, 2021</w:t>
            </w:r>
          </w:p>
        </w:tc>
        <w:tc>
          <w:tcPr>
            <w:tcW w:w="1559" w:type="dxa"/>
            <w:shd w:val="clear" w:color="auto" w:fill="auto"/>
            <w:noWrap/>
            <w:vAlign w:val="bottom"/>
            <w:hideMark/>
          </w:tcPr>
          <w:p w14:paraId="7B1F46FA" w14:textId="77777777" w:rsidR="00B74571" w:rsidRPr="00824BC0" w:rsidRDefault="00B74571" w:rsidP="00CF7DE6">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5,225.00 </w:t>
            </w:r>
          </w:p>
        </w:tc>
        <w:tc>
          <w:tcPr>
            <w:tcW w:w="1564" w:type="dxa"/>
            <w:shd w:val="clear" w:color="auto" w:fill="auto"/>
            <w:noWrap/>
            <w:vAlign w:val="bottom"/>
            <w:hideMark/>
          </w:tcPr>
          <w:p w14:paraId="79F2E2EC" w14:textId="77777777" w:rsidR="00B74571" w:rsidRPr="00824BC0" w:rsidRDefault="00B74571" w:rsidP="00B74571">
            <w:pPr>
              <w:spacing w:after="0" w:line="240" w:lineRule="auto"/>
              <w:jc w:val="center"/>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Understated</w:t>
            </w:r>
          </w:p>
        </w:tc>
      </w:tr>
      <w:tr w:rsidR="00B74571" w:rsidRPr="00824BC0" w14:paraId="6082A3A4" w14:textId="77777777" w:rsidTr="00A744E2">
        <w:trPr>
          <w:trHeight w:val="209"/>
        </w:trPr>
        <w:tc>
          <w:tcPr>
            <w:tcW w:w="5524" w:type="dxa"/>
            <w:shd w:val="clear" w:color="auto" w:fill="auto"/>
            <w:vAlign w:val="center"/>
            <w:hideMark/>
          </w:tcPr>
          <w:p w14:paraId="56691797" w14:textId="77777777" w:rsidR="00B74571" w:rsidRPr="00824BC0" w:rsidRDefault="00B74571" w:rsidP="00A744E2">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Overstatement of DCR of July 15, 2021</w:t>
            </w:r>
          </w:p>
        </w:tc>
        <w:tc>
          <w:tcPr>
            <w:tcW w:w="1559" w:type="dxa"/>
            <w:shd w:val="clear" w:color="auto" w:fill="auto"/>
            <w:noWrap/>
            <w:vAlign w:val="bottom"/>
            <w:hideMark/>
          </w:tcPr>
          <w:p w14:paraId="18BAE8E1" w14:textId="77777777" w:rsidR="00B74571" w:rsidRPr="00824BC0" w:rsidRDefault="00B74571" w:rsidP="00CF7DE6">
            <w:pPr>
              <w:spacing w:after="0" w:line="240" w:lineRule="auto"/>
              <w:ind w:right="-35"/>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(20.00)</w:t>
            </w:r>
          </w:p>
        </w:tc>
        <w:tc>
          <w:tcPr>
            <w:tcW w:w="1564" w:type="dxa"/>
            <w:shd w:val="clear" w:color="auto" w:fill="auto"/>
            <w:noWrap/>
            <w:vAlign w:val="bottom"/>
            <w:hideMark/>
          </w:tcPr>
          <w:p w14:paraId="5584BE3A" w14:textId="77777777" w:rsidR="00B74571" w:rsidRPr="00824BC0" w:rsidRDefault="00B74571" w:rsidP="00B74571">
            <w:pPr>
              <w:spacing w:after="0" w:line="240" w:lineRule="auto"/>
              <w:jc w:val="center"/>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Overstated</w:t>
            </w:r>
          </w:p>
        </w:tc>
      </w:tr>
      <w:tr w:rsidR="00B74571" w:rsidRPr="00824BC0" w14:paraId="55ECAE2B" w14:textId="77777777" w:rsidTr="00A744E2">
        <w:trPr>
          <w:trHeight w:val="255"/>
        </w:trPr>
        <w:tc>
          <w:tcPr>
            <w:tcW w:w="5524" w:type="dxa"/>
            <w:shd w:val="clear" w:color="auto" w:fill="auto"/>
            <w:vAlign w:val="center"/>
            <w:hideMark/>
          </w:tcPr>
          <w:p w14:paraId="0ECCABFD" w14:textId="45D3DF07" w:rsidR="00B74571" w:rsidRPr="00824BC0" w:rsidRDefault="00B74571" w:rsidP="00A744E2">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Overstatement of Cash Collecting Officer </w:t>
            </w:r>
          </w:p>
        </w:tc>
        <w:tc>
          <w:tcPr>
            <w:tcW w:w="1559" w:type="dxa"/>
            <w:shd w:val="clear" w:color="auto" w:fill="auto"/>
            <w:noWrap/>
            <w:vAlign w:val="bottom"/>
            <w:hideMark/>
          </w:tcPr>
          <w:p w14:paraId="5CEEC17B" w14:textId="77777777" w:rsidR="00B74571" w:rsidRPr="00824BC0" w:rsidRDefault="00B74571" w:rsidP="00CF7DE6">
            <w:pPr>
              <w:spacing w:after="0" w:line="240" w:lineRule="auto"/>
              <w:ind w:right="-35"/>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(23,600.00)</w:t>
            </w:r>
          </w:p>
        </w:tc>
        <w:tc>
          <w:tcPr>
            <w:tcW w:w="1564" w:type="dxa"/>
            <w:shd w:val="clear" w:color="auto" w:fill="auto"/>
            <w:noWrap/>
            <w:vAlign w:val="bottom"/>
            <w:hideMark/>
          </w:tcPr>
          <w:p w14:paraId="4E816AD8" w14:textId="77777777" w:rsidR="00B74571" w:rsidRPr="00824BC0" w:rsidRDefault="00B74571" w:rsidP="00B74571">
            <w:pPr>
              <w:spacing w:after="0" w:line="240" w:lineRule="auto"/>
              <w:jc w:val="center"/>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Overstated</w:t>
            </w:r>
          </w:p>
        </w:tc>
      </w:tr>
      <w:tr w:rsidR="00B74571" w:rsidRPr="00824BC0" w14:paraId="2D28C84A" w14:textId="77777777" w:rsidTr="00A744E2">
        <w:trPr>
          <w:trHeight w:val="255"/>
        </w:trPr>
        <w:tc>
          <w:tcPr>
            <w:tcW w:w="5524" w:type="dxa"/>
            <w:shd w:val="clear" w:color="auto" w:fill="auto"/>
            <w:vAlign w:val="center"/>
            <w:hideMark/>
          </w:tcPr>
          <w:p w14:paraId="73E28F52" w14:textId="77777777" w:rsidR="00B74571" w:rsidRPr="00824BC0" w:rsidRDefault="00B74571" w:rsidP="00A744E2">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Shortage - Missing Undeposited Collection</w:t>
            </w:r>
          </w:p>
        </w:tc>
        <w:tc>
          <w:tcPr>
            <w:tcW w:w="1559" w:type="dxa"/>
            <w:shd w:val="clear" w:color="auto" w:fill="auto"/>
            <w:noWrap/>
            <w:vAlign w:val="bottom"/>
            <w:hideMark/>
          </w:tcPr>
          <w:p w14:paraId="55A1259D" w14:textId="77777777" w:rsidR="00B74571" w:rsidRPr="00824BC0" w:rsidRDefault="00B74571" w:rsidP="00CF7DE6">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23,380.00 </w:t>
            </w:r>
          </w:p>
        </w:tc>
        <w:tc>
          <w:tcPr>
            <w:tcW w:w="1564" w:type="dxa"/>
            <w:shd w:val="clear" w:color="auto" w:fill="auto"/>
            <w:noWrap/>
            <w:vAlign w:val="bottom"/>
            <w:hideMark/>
          </w:tcPr>
          <w:p w14:paraId="222CD65F" w14:textId="77777777" w:rsidR="00B74571" w:rsidRPr="00824BC0" w:rsidRDefault="00B74571" w:rsidP="00B74571">
            <w:pPr>
              <w:spacing w:after="0" w:line="240" w:lineRule="auto"/>
              <w:jc w:val="center"/>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Understated</w:t>
            </w:r>
          </w:p>
        </w:tc>
      </w:tr>
      <w:tr w:rsidR="00B74571" w:rsidRPr="00824BC0" w14:paraId="69326FC4" w14:textId="77777777" w:rsidTr="00A744E2">
        <w:trPr>
          <w:trHeight w:val="255"/>
        </w:trPr>
        <w:tc>
          <w:tcPr>
            <w:tcW w:w="5524" w:type="dxa"/>
            <w:shd w:val="clear" w:color="auto" w:fill="auto"/>
            <w:noWrap/>
            <w:hideMark/>
          </w:tcPr>
          <w:p w14:paraId="10988731" w14:textId="77777777" w:rsidR="00B74571" w:rsidRPr="00824BC0" w:rsidRDefault="00B74571" w:rsidP="00B74571">
            <w:pPr>
              <w:spacing w:after="0" w:line="240" w:lineRule="auto"/>
              <w:jc w:val="center"/>
              <w:rPr>
                <w:rFonts w:ascii="Times New Roman" w:eastAsia="Times New Roman" w:hAnsi="Times New Roman" w:cs="Times New Roman"/>
                <w:b/>
                <w:bCs/>
                <w:color w:val="000000"/>
                <w:sz w:val="24"/>
                <w:szCs w:val="24"/>
                <w:lang w:eastAsia="en-PH"/>
              </w:rPr>
            </w:pPr>
            <w:r w:rsidRPr="00824BC0">
              <w:rPr>
                <w:rFonts w:ascii="Times New Roman" w:eastAsia="Times New Roman" w:hAnsi="Times New Roman" w:cs="Times New Roman"/>
                <w:b/>
                <w:bCs/>
                <w:color w:val="000000"/>
                <w:sz w:val="24"/>
                <w:szCs w:val="24"/>
                <w:lang w:eastAsia="en-PH"/>
              </w:rPr>
              <w:t>Total Effect</w:t>
            </w:r>
          </w:p>
        </w:tc>
        <w:tc>
          <w:tcPr>
            <w:tcW w:w="1559" w:type="dxa"/>
            <w:shd w:val="clear" w:color="auto" w:fill="auto"/>
            <w:noWrap/>
            <w:vAlign w:val="bottom"/>
            <w:hideMark/>
          </w:tcPr>
          <w:p w14:paraId="46872124" w14:textId="7EB26260" w:rsidR="00B74571" w:rsidRPr="00824BC0" w:rsidRDefault="00B74571" w:rsidP="00CF7DE6">
            <w:pPr>
              <w:spacing w:after="0" w:line="240" w:lineRule="auto"/>
              <w:jc w:val="right"/>
              <w:rPr>
                <w:rFonts w:ascii="Times New Roman" w:eastAsia="Times New Roman" w:hAnsi="Times New Roman" w:cs="Times New Roman"/>
                <w:b/>
                <w:bCs/>
                <w:color w:val="000000"/>
                <w:sz w:val="24"/>
                <w:szCs w:val="24"/>
                <w:lang w:eastAsia="en-PH"/>
              </w:rPr>
            </w:pPr>
            <w:r w:rsidRPr="00824BC0">
              <w:rPr>
                <w:rFonts w:ascii="Times New Roman" w:hAnsi="Times New Roman" w:cs="Times New Roman"/>
                <w:b/>
                <w:bCs/>
                <w:sz w:val="24"/>
                <w:szCs w:val="24"/>
                <w:lang w:eastAsia="en-PH"/>
              </w:rPr>
              <w:t>₱</w:t>
            </w:r>
            <w:r w:rsidRPr="00824BC0">
              <w:rPr>
                <w:rFonts w:ascii="Times New Roman" w:eastAsia="Times New Roman" w:hAnsi="Times New Roman" w:cs="Times New Roman"/>
                <w:b/>
                <w:bCs/>
                <w:color w:val="000000"/>
                <w:sz w:val="24"/>
                <w:szCs w:val="24"/>
                <w:lang w:eastAsia="en-PH"/>
              </w:rPr>
              <w:t xml:space="preserve">  21,430.00 </w:t>
            </w:r>
          </w:p>
        </w:tc>
        <w:tc>
          <w:tcPr>
            <w:tcW w:w="1564" w:type="dxa"/>
            <w:shd w:val="clear" w:color="auto" w:fill="auto"/>
            <w:noWrap/>
            <w:vAlign w:val="bottom"/>
            <w:hideMark/>
          </w:tcPr>
          <w:p w14:paraId="490F40B6" w14:textId="77777777" w:rsidR="00B74571" w:rsidRPr="00824BC0" w:rsidRDefault="00B74571" w:rsidP="00B74571">
            <w:pPr>
              <w:spacing w:after="0" w:line="240" w:lineRule="auto"/>
              <w:jc w:val="center"/>
              <w:rPr>
                <w:rFonts w:ascii="Times New Roman" w:eastAsia="Times New Roman" w:hAnsi="Times New Roman" w:cs="Times New Roman"/>
                <w:b/>
                <w:bCs/>
                <w:color w:val="000000"/>
                <w:sz w:val="24"/>
                <w:szCs w:val="24"/>
                <w:lang w:eastAsia="en-PH"/>
              </w:rPr>
            </w:pPr>
            <w:r w:rsidRPr="00824BC0">
              <w:rPr>
                <w:rFonts w:ascii="Times New Roman" w:eastAsia="Times New Roman" w:hAnsi="Times New Roman" w:cs="Times New Roman"/>
                <w:b/>
                <w:bCs/>
                <w:color w:val="000000"/>
                <w:sz w:val="24"/>
                <w:szCs w:val="24"/>
                <w:lang w:eastAsia="en-PH"/>
              </w:rPr>
              <w:t>Understated</w:t>
            </w:r>
          </w:p>
        </w:tc>
      </w:tr>
    </w:tbl>
    <w:p w14:paraId="629C2D17" w14:textId="77777777" w:rsidR="00A744E2" w:rsidRPr="00824BC0" w:rsidRDefault="00A744E2" w:rsidP="00A744E2">
      <w:pPr>
        <w:spacing w:after="0"/>
        <w:jc w:val="both"/>
        <w:rPr>
          <w:szCs w:val="24"/>
        </w:rPr>
      </w:pPr>
    </w:p>
    <w:p w14:paraId="72B4C80B" w14:textId="10B29F9B" w:rsidR="00724259" w:rsidRPr="00824BC0" w:rsidRDefault="00724259" w:rsidP="00A744E2">
      <w:pPr>
        <w:pStyle w:val="ListParagraph"/>
        <w:numPr>
          <w:ilvl w:val="1"/>
          <w:numId w:val="5"/>
        </w:numPr>
        <w:ind w:left="0" w:firstLine="0"/>
        <w:jc w:val="both"/>
        <w:rPr>
          <w:szCs w:val="24"/>
        </w:rPr>
      </w:pPr>
      <w:r w:rsidRPr="00824BC0">
        <w:rPr>
          <w:szCs w:val="24"/>
        </w:rPr>
        <w:t>Pending restitution of the shortage, we propose that a receivable account for the defaulting AO be taken up in the books as follows:</w:t>
      </w:r>
    </w:p>
    <w:p w14:paraId="5C3385CE" w14:textId="6EED7DB5" w:rsidR="00724259" w:rsidRPr="00824BC0" w:rsidRDefault="00724259" w:rsidP="00724259">
      <w:pPr>
        <w:spacing w:after="0" w:line="240" w:lineRule="auto"/>
        <w:ind w:firstLine="720"/>
        <w:jc w:val="both"/>
        <w:rPr>
          <w:rFonts w:ascii="Times New Roman" w:hAnsi="Times New Roman" w:cs="Times New Roman"/>
          <w:sz w:val="24"/>
          <w:szCs w:val="24"/>
        </w:rPr>
      </w:pPr>
      <w:r w:rsidRPr="00824BC0">
        <w:rPr>
          <w:rFonts w:ascii="Times New Roman" w:hAnsi="Times New Roman" w:cs="Times New Roman"/>
          <w:sz w:val="24"/>
          <w:szCs w:val="24"/>
        </w:rPr>
        <w:tab/>
      </w:r>
      <w:r w:rsidRPr="00824BC0">
        <w:rPr>
          <w:rFonts w:ascii="Times New Roman" w:hAnsi="Times New Roman" w:cs="Times New Roman"/>
          <w:sz w:val="24"/>
          <w:szCs w:val="24"/>
        </w:rPr>
        <w:tab/>
      </w:r>
      <w:r w:rsidRPr="00824BC0">
        <w:rPr>
          <w:rFonts w:ascii="Times New Roman" w:hAnsi="Times New Roman" w:cs="Times New Roman"/>
          <w:sz w:val="24"/>
          <w:szCs w:val="24"/>
        </w:rPr>
        <w:tab/>
      </w:r>
      <w:r w:rsidRPr="00824BC0">
        <w:rPr>
          <w:rFonts w:ascii="Times New Roman" w:hAnsi="Times New Roman" w:cs="Times New Roman"/>
          <w:sz w:val="24"/>
          <w:szCs w:val="24"/>
        </w:rPr>
        <w:tab/>
      </w:r>
      <w:r w:rsidRPr="00824BC0">
        <w:rPr>
          <w:rFonts w:ascii="Times New Roman" w:hAnsi="Times New Roman" w:cs="Times New Roman"/>
          <w:sz w:val="24"/>
          <w:szCs w:val="24"/>
        </w:rPr>
        <w:tab/>
      </w:r>
      <w:r w:rsidRPr="00824BC0">
        <w:rPr>
          <w:rFonts w:ascii="Times New Roman" w:hAnsi="Times New Roman" w:cs="Times New Roman"/>
          <w:sz w:val="24"/>
          <w:szCs w:val="24"/>
        </w:rPr>
        <w:tab/>
      </w:r>
      <w:r w:rsidRPr="00824BC0">
        <w:rPr>
          <w:rFonts w:ascii="Times New Roman" w:hAnsi="Times New Roman" w:cs="Times New Roman"/>
          <w:sz w:val="24"/>
          <w:szCs w:val="24"/>
        </w:rPr>
        <w:tab/>
      </w:r>
      <w:r w:rsidRPr="00824BC0">
        <w:rPr>
          <w:rFonts w:ascii="Times New Roman" w:hAnsi="Times New Roman" w:cs="Times New Roman"/>
          <w:sz w:val="24"/>
          <w:szCs w:val="24"/>
        </w:rPr>
        <w:tab/>
        <w:t>Dr.</w:t>
      </w:r>
      <w:r w:rsidRPr="00824BC0">
        <w:rPr>
          <w:rFonts w:ascii="Times New Roman" w:hAnsi="Times New Roman" w:cs="Times New Roman"/>
          <w:sz w:val="24"/>
          <w:szCs w:val="24"/>
        </w:rPr>
        <w:tab/>
        <w:t xml:space="preserve">        Cr.</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4247"/>
        <w:gridCol w:w="243"/>
        <w:gridCol w:w="1310"/>
        <w:gridCol w:w="1310"/>
      </w:tblGrid>
      <w:tr w:rsidR="00724259" w:rsidRPr="00824BC0" w14:paraId="3486BAC5" w14:textId="77777777" w:rsidTr="00F875EF">
        <w:tc>
          <w:tcPr>
            <w:tcW w:w="5073" w:type="dxa"/>
            <w:gridSpan w:val="2"/>
          </w:tcPr>
          <w:p w14:paraId="2494AEA1" w14:textId="77777777" w:rsidR="00724259" w:rsidRPr="00824BC0" w:rsidRDefault="00724259" w:rsidP="00F875EF">
            <w:pPr>
              <w:jc w:val="both"/>
              <w:rPr>
                <w:rFonts w:ascii="Times New Roman" w:hAnsi="Times New Roman" w:cs="Times New Roman"/>
                <w:sz w:val="24"/>
                <w:szCs w:val="24"/>
              </w:rPr>
            </w:pPr>
            <w:r w:rsidRPr="00824BC0">
              <w:rPr>
                <w:rFonts w:ascii="Times New Roman" w:hAnsi="Times New Roman" w:cs="Times New Roman"/>
                <w:sz w:val="24"/>
                <w:szCs w:val="24"/>
              </w:rPr>
              <w:t xml:space="preserve">Due from Officers and Employees </w:t>
            </w:r>
            <w:r w:rsidRPr="00824BC0">
              <w:rPr>
                <w:rFonts w:ascii="Times New Roman" w:hAnsi="Times New Roman" w:cs="Times New Roman"/>
                <w:sz w:val="24"/>
                <w:szCs w:val="24"/>
              </w:rPr>
              <w:tab/>
            </w:r>
          </w:p>
        </w:tc>
        <w:tc>
          <w:tcPr>
            <w:tcW w:w="243" w:type="dxa"/>
          </w:tcPr>
          <w:p w14:paraId="76FC0BFC" w14:textId="77777777" w:rsidR="00724259" w:rsidRPr="00824BC0" w:rsidRDefault="00724259" w:rsidP="00724259">
            <w:pPr>
              <w:jc w:val="both"/>
              <w:rPr>
                <w:rFonts w:ascii="Times New Roman" w:hAnsi="Times New Roman" w:cs="Times New Roman"/>
                <w:sz w:val="24"/>
                <w:szCs w:val="24"/>
              </w:rPr>
            </w:pPr>
          </w:p>
        </w:tc>
        <w:tc>
          <w:tcPr>
            <w:tcW w:w="1310" w:type="dxa"/>
          </w:tcPr>
          <w:p w14:paraId="3E64B6E9" w14:textId="3C600479" w:rsidR="00724259" w:rsidRPr="00824BC0" w:rsidRDefault="00724259" w:rsidP="00724259">
            <w:pPr>
              <w:jc w:val="right"/>
              <w:rPr>
                <w:rFonts w:ascii="Times New Roman" w:hAnsi="Times New Roman" w:cs="Times New Roman"/>
                <w:sz w:val="24"/>
                <w:szCs w:val="24"/>
              </w:rPr>
            </w:pPr>
            <w:r w:rsidRPr="00824BC0">
              <w:rPr>
                <w:rFonts w:ascii="Times New Roman" w:hAnsi="Times New Roman" w:cs="Times New Roman"/>
                <w:sz w:val="24"/>
                <w:szCs w:val="24"/>
              </w:rPr>
              <w:t>₱</w:t>
            </w:r>
            <w:r w:rsidR="00A94951" w:rsidRPr="00824BC0">
              <w:rPr>
                <w:rFonts w:ascii="Times New Roman" w:hAnsi="Times New Roman" w:cs="Times New Roman"/>
                <w:sz w:val="24"/>
                <w:szCs w:val="24"/>
              </w:rPr>
              <w:t>45,05</w:t>
            </w:r>
            <w:r w:rsidRPr="00824BC0">
              <w:rPr>
                <w:rFonts w:ascii="Times New Roman" w:hAnsi="Times New Roman" w:cs="Times New Roman"/>
                <w:sz w:val="24"/>
                <w:szCs w:val="24"/>
              </w:rPr>
              <w:t>0.00</w:t>
            </w:r>
          </w:p>
        </w:tc>
        <w:tc>
          <w:tcPr>
            <w:tcW w:w="1310" w:type="dxa"/>
          </w:tcPr>
          <w:p w14:paraId="38C9E5EE" w14:textId="77777777" w:rsidR="00724259" w:rsidRPr="00824BC0" w:rsidRDefault="00724259" w:rsidP="00724259">
            <w:pPr>
              <w:jc w:val="right"/>
              <w:rPr>
                <w:rFonts w:ascii="Times New Roman" w:hAnsi="Times New Roman" w:cs="Times New Roman"/>
                <w:sz w:val="24"/>
                <w:szCs w:val="24"/>
              </w:rPr>
            </w:pPr>
          </w:p>
        </w:tc>
      </w:tr>
      <w:tr w:rsidR="00724259" w:rsidRPr="00824BC0" w14:paraId="6635180A" w14:textId="77777777" w:rsidTr="00F875EF">
        <w:tc>
          <w:tcPr>
            <w:tcW w:w="826" w:type="dxa"/>
          </w:tcPr>
          <w:p w14:paraId="2FB7F334" w14:textId="77777777" w:rsidR="00724259" w:rsidRPr="00824BC0" w:rsidRDefault="00724259" w:rsidP="00724259">
            <w:pPr>
              <w:jc w:val="both"/>
              <w:rPr>
                <w:rFonts w:ascii="Times New Roman" w:hAnsi="Times New Roman" w:cs="Times New Roman"/>
                <w:sz w:val="24"/>
                <w:szCs w:val="24"/>
              </w:rPr>
            </w:pPr>
          </w:p>
        </w:tc>
        <w:tc>
          <w:tcPr>
            <w:tcW w:w="4247" w:type="dxa"/>
          </w:tcPr>
          <w:p w14:paraId="3EF9F15A" w14:textId="77777777" w:rsidR="00724259" w:rsidRPr="00824BC0" w:rsidRDefault="00724259" w:rsidP="00724259">
            <w:pPr>
              <w:jc w:val="both"/>
              <w:rPr>
                <w:rFonts w:ascii="Times New Roman" w:hAnsi="Times New Roman" w:cs="Times New Roman"/>
                <w:sz w:val="24"/>
                <w:szCs w:val="24"/>
              </w:rPr>
            </w:pPr>
            <w:r w:rsidRPr="00824BC0">
              <w:rPr>
                <w:rFonts w:ascii="Times New Roman" w:hAnsi="Times New Roman" w:cs="Times New Roman"/>
                <w:sz w:val="24"/>
                <w:szCs w:val="24"/>
              </w:rPr>
              <w:t>Cash Collecting Officer</w:t>
            </w:r>
          </w:p>
        </w:tc>
        <w:tc>
          <w:tcPr>
            <w:tcW w:w="243" w:type="dxa"/>
          </w:tcPr>
          <w:p w14:paraId="15ACCCE9" w14:textId="77777777" w:rsidR="00724259" w:rsidRPr="00824BC0" w:rsidRDefault="00724259" w:rsidP="00724259">
            <w:pPr>
              <w:jc w:val="both"/>
              <w:rPr>
                <w:rFonts w:ascii="Times New Roman" w:hAnsi="Times New Roman" w:cs="Times New Roman"/>
                <w:sz w:val="24"/>
                <w:szCs w:val="24"/>
              </w:rPr>
            </w:pPr>
          </w:p>
        </w:tc>
        <w:tc>
          <w:tcPr>
            <w:tcW w:w="1310" w:type="dxa"/>
          </w:tcPr>
          <w:p w14:paraId="213DB780" w14:textId="77777777" w:rsidR="00724259" w:rsidRPr="00824BC0" w:rsidRDefault="00724259" w:rsidP="00724259">
            <w:pPr>
              <w:jc w:val="right"/>
              <w:rPr>
                <w:rFonts w:ascii="Times New Roman" w:hAnsi="Times New Roman" w:cs="Times New Roman"/>
                <w:sz w:val="24"/>
                <w:szCs w:val="24"/>
              </w:rPr>
            </w:pPr>
          </w:p>
        </w:tc>
        <w:tc>
          <w:tcPr>
            <w:tcW w:w="1310" w:type="dxa"/>
          </w:tcPr>
          <w:p w14:paraId="57B56D75" w14:textId="0803D780" w:rsidR="00724259" w:rsidRPr="00824BC0" w:rsidRDefault="00724259" w:rsidP="00724259">
            <w:pPr>
              <w:jc w:val="right"/>
              <w:rPr>
                <w:rFonts w:ascii="Times New Roman" w:hAnsi="Times New Roman" w:cs="Times New Roman"/>
                <w:sz w:val="24"/>
                <w:szCs w:val="24"/>
              </w:rPr>
            </w:pPr>
            <w:r w:rsidRPr="00824BC0">
              <w:rPr>
                <w:rFonts w:ascii="Times New Roman" w:hAnsi="Times New Roman" w:cs="Times New Roman"/>
                <w:sz w:val="24"/>
                <w:szCs w:val="24"/>
              </w:rPr>
              <w:t>₱23</w:t>
            </w:r>
            <w:r w:rsidR="005C5DA3" w:rsidRPr="00824BC0">
              <w:rPr>
                <w:rFonts w:ascii="Times New Roman" w:hAnsi="Times New Roman" w:cs="Times New Roman"/>
                <w:sz w:val="24"/>
                <w:szCs w:val="24"/>
              </w:rPr>
              <w:t>,60</w:t>
            </w:r>
            <w:r w:rsidRPr="00824BC0">
              <w:rPr>
                <w:rFonts w:ascii="Times New Roman" w:hAnsi="Times New Roman" w:cs="Times New Roman"/>
                <w:sz w:val="24"/>
                <w:szCs w:val="24"/>
              </w:rPr>
              <w:t>0.00</w:t>
            </w:r>
          </w:p>
        </w:tc>
      </w:tr>
      <w:tr w:rsidR="00724259" w:rsidRPr="00824BC0" w14:paraId="7A43D8C1" w14:textId="77777777" w:rsidTr="00F875EF">
        <w:tc>
          <w:tcPr>
            <w:tcW w:w="826" w:type="dxa"/>
          </w:tcPr>
          <w:p w14:paraId="1DE81F1C" w14:textId="77777777" w:rsidR="00724259" w:rsidRPr="00824BC0" w:rsidRDefault="00724259" w:rsidP="00724259">
            <w:pPr>
              <w:jc w:val="both"/>
              <w:rPr>
                <w:rFonts w:ascii="Times New Roman" w:hAnsi="Times New Roman" w:cs="Times New Roman"/>
                <w:sz w:val="24"/>
                <w:szCs w:val="24"/>
              </w:rPr>
            </w:pPr>
          </w:p>
        </w:tc>
        <w:tc>
          <w:tcPr>
            <w:tcW w:w="4247" w:type="dxa"/>
          </w:tcPr>
          <w:p w14:paraId="6CFE4917" w14:textId="77777777" w:rsidR="00724259" w:rsidRPr="00824BC0" w:rsidRDefault="00724259" w:rsidP="00724259">
            <w:pPr>
              <w:jc w:val="both"/>
              <w:rPr>
                <w:rFonts w:ascii="Times New Roman" w:hAnsi="Times New Roman" w:cs="Times New Roman"/>
                <w:sz w:val="24"/>
                <w:szCs w:val="24"/>
              </w:rPr>
            </w:pPr>
            <w:r w:rsidRPr="00824BC0">
              <w:rPr>
                <w:rFonts w:ascii="Times New Roman" w:hAnsi="Times New Roman" w:cs="Times New Roman"/>
                <w:sz w:val="24"/>
                <w:szCs w:val="24"/>
              </w:rPr>
              <w:t xml:space="preserve">Accumulated Surplus </w:t>
            </w:r>
          </w:p>
        </w:tc>
        <w:tc>
          <w:tcPr>
            <w:tcW w:w="243" w:type="dxa"/>
          </w:tcPr>
          <w:p w14:paraId="7246E1FA" w14:textId="77777777" w:rsidR="00724259" w:rsidRPr="00824BC0" w:rsidRDefault="00724259" w:rsidP="00724259">
            <w:pPr>
              <w:jc w:val="both"/>
              <w:rPr>
                <w:rFonts w:ascii="Times New Roman" w:hAnsi="Times New Roman" w:cs="Times New Roman"/>
                <w:sz w:val="24"/>
                <w:szCs w:val="24"/>
              </w:rPr>
            </w:pPr>
          </w:p>
        </w:tc>
        <w:tc>
          <w:tcPr>
            <w:tcW w:w="1310" w:type="dxa"/>
          </w:tcPr>
          <w:p w14:paraId="24581FF2" w14:textId="77777777" w:rsidR="00724259" w:rsidRPr="00824BC0" w:rsidRDefault="00724259" w:rsidP="00724259">
            <w:pPr>
              <w:jc w:val="right"/>
              <w:rPr>
                <w:rFonts w:ascii="Times New Roman" w:hAnsi="Times New Roman" w:cs="Times New Roman"/>
                <w:sz w:val="24"/>
                <w:szCs w:val="24"/>
              </w:rPr>
            </w:pPr>
          </w:p>
        </w:tc>
        <w:tc>
          <w:tcPr>
            <w:tcW w:w="1310" w:type="dxa"/>
          </w:tcPr>
          <w:p w14:paraId="63CE3E95" w14:textId="0214D9FA" w:rsidR="00724259" w:rsidRPr="00824BC0" w:rsidRDefault="008D082E" w:rsidP="00724259">
            <w:pPr>
              <w:jc w:val="right"/>
              <w:rPr>
                <w:rFonts w:ascii="Times New Roman" w:hAnsi="Times New Roman" w:cs="Times New Roman"/>
                <w:sz w:val="24"/>
                <w:szCs w:val="24"/>
              </w:rPr>
            </w:pPr>
            <w:r w:rsidRPr="00824BC0">
              <w:rPr>
                <w:rFonts w:ascii="Times New Roman" w:hAnsi="Times New Roman" w:cs="Times New Roman"/>
                <w:sz w:val="24"/>
                <w:szCs w:val="24"/>
              </w:rPr>
              <w:t>21,</w:t>
            </w:r>
            <w:r w:rsidR="00F87199" w:rsidRPr="00824BC0">
              <w:rPr>
                <w:rFonts w:ascii="Times New Roman" w:hAnsi="Times New Roman" w:cs="Times New Roman"/>
                <w:sz w:val="24"/>
                <w:szCs w:val="24"/>
              </w:rPr>
              <w:t>430</w:t>
            </w:r>
            <w:r w:rsidRPr="00824BC0">
              <w:rPr>
                <w:rFonts w:ascii="Times New Roman" w:hAnsi="Times New Roman" w:cs="Times New Roman"/>
                <w:sz w:val="24"/>
                <w:szCs w:val="24"/>
              </w:rPr>
              <w:t>.00</w:t>
            </w:r>
          </w:p>
        </w:tc>
      </w:tr>
      <w:tr w:rsidR="000A78D6" w:rsidRPr="00824BC0" w14:paraId="164C1B94" w14:textId="77777777" w:rsidTr="00F875EF">
        <w:tc>
          <w:tcPr>
            <w:tcW w:w="826" w:type="dxa"/>
          </w:tcPr>
          <w:p w14:paraId="35CDE473" w14:textId="77777777" w:rsidR="000A78D6" w:rsidRPr="00824BC0" w:rsidRDefault="000A78D6" w:rsidP="00724259">
            <w:pPr>
              <w:jc w:val="both"/>
              <w:rPr>
                <w:rFonts w:ascii="Times New Roman" w:hAnsi="Times New Roman" w:cs="Times New Roman"/>
                <w:sz w:val="24"/>
                <w:szCs w:val="24"/>
              </w:rPr>
            </w:pPr>
          </w:p>
        </w:tc>
        <w:tc>
          <w:tcPr>
            <w:tcW w:w="4247" w:type="dxa"/>
          </w:tcPr>
          <w:p w14:paraId="36C1D3AA" w14:textId="768AC5D2" w:rsidR="000A78D6" w:rsidRPr="00824BC0" w:rsidRDefault="00F87199" w:rsidP="00724259">
            <w:pPr>
              <w:jc w:val="both"/>
              <w:rPr>
                <w:rFonts w:ascii="Times New Roman" w:hAnsi="Times New Roman" w:cs="Times New Roman"/>
                <w:sz w:val="24"/>
                <w:szCs w:val="24"/>
              </w:rPr>
            </w:pPr>
            <w:r w:rsidRPr="00824BC0">
              <w:rPr>
                <w:rFonts w:ascii="Times New Roman" w:hAnsi="Times New Roman" w:cs="Times New Roman"/>
                <w:sz w:val="24"/>
                <w:szCs w:val="24"/>
              </w:rPr>
              <w:t>Cash in Bank - LCCA</w:t>
            </w:r>
          </w:p>
        </w:tc>
        <w:tc>
          <w:tcPr>
            <w:tcW w:w="243" w:type="dxa"/>
          </w:tcPr>
          <w:p w14:paraId="44E1E9F6" w14:textId="77777777" w:rsidR="000A78D6" w:rsidRPr="00824BC0" w:rsidRDefault="000A78D6" w:rsidP="00724259">
            <w:pPr>
              <w:jc w:val="both"/>
              <w:rPr>
                <w:rFonts w:ascii="Times New Roman" w:hAnsi="Times New Roman" w:cs="Times New Roman"/>
                <w:sz w:val="24"/>
                <w:szCs w:val="24"/>
              </w:rPr>
            </w:pPr>
          </w:p>
        </w:tc>
        <w:tc>
          <w:tcPr>
            <w:tcW w:w="1310" w:type="dxa"/>
          </w:tcPr>
          <w:p w14:paraId="29D96DF7" w14:textId="77777777" w:rsidR="000A78D6" w:rsidRPr="00824BC0" w:rsidRDefault="000A78D6" w:rsidP="00724259">
            <w:pPr>
              <w:jc w:val="right"/>
              <w:rPr>
                <w:rFonts w:ascii="Times New Roman" w:hAnsi="Times New Roman" w:cs="Times New Roman"/>
                <w:sz w:val="24"/>
                <w:szCs w:val="24"/>
              </w:rPr>
            </w:pPr>
          </w:p>
        </w:tc>
        <w:tc>
          <w:tcPr>
            <w:tcW w:w="1310" w:type="dxa"/>
          </w:tcPr>
          <w:p w14:paraId="155C7047" w14:textId="74FAEECF" w:rsidR="000A78D6" w:rsidRPr="00824BC0" w:rsidRDefault="00F87199" w:rsidP="00724259">
            <w:pPr>
              <w:jc w:val="right"/>
              <w:rPr>
                <w:rFonts w:ascii="Times New Roman" w:hAnsi="Times New Roman" w:cs="Times New Roman"/>
                <w:sz w:val="24"/>
                <w:szCs w:val="24"/>
              </w:rPr>
            </w:pPr>
            <w:r w:rsidRPr="00824BC0">
              <w:rPr>
                <w:rFonts w:ascii="Times New Roman" w:hAnsi="Times New Roman" w:cs="Times New Roman"/>
                <w:sz w:val="24"/>
                <w:szCs w:val="24"/>
              </w:rPr>
              <w:t xml:space="preserve">       20.00</w:t>
            </w:r>
          </w:p>
        </w:tc>
      </w:tr>
    </w:tbl>
    <w:p w14:paraId="17DF6345" w14:textId="77777777" w:rsidR="00724259" w:rsidRPr="00824BC0" w:rsidRDefault="00724259" w:rsidP="00724259">
      <w:pPr>
        <w:spacing w:after="0" w:line="240" w:lineRule="auto"/>
        <w:ind w:left="720"/>
        <w:jc w:val="both"/>
        <w:rPr>
          <w:rFonts w:ascii="Times New Roman" w:hAnsi="Times New Roman" w:cs="Times New Roman"/>
          <w:i/>
          <w:iCs/>
          <w:sz w:val="24"/>
          <w:szCs w:val="24"/>
        </w:rPr>
      </w:pPr>
      <w:r w:rsidRPr="00824BC0">
        <w:rPr>
          <w:rFonts w:ascii="Times New Roman" w:hAnsi="Times New Roman" w:cs="Times New Roman"/>
          <w:i/>
          <w:iCs/>
          <w:sz w:val="24"/>
          <w:szCs w:val="24"/>
        </w:rPr>
        <w:t xml:space="preserve">To recognize the cash shortage incurred by the AO and the understatement in the income for CY 2021. </w:t>
      </w:r>
    </w:p>
    <w:p w14:paraId="6FF00AFB" w14:textId="77777777" w:rsidR="00724259" w:rsidRPr="00824BC0" w:rsidRDefault="00724259" w:rsidP="00724259">
      <w:pPr>
        <w:spacing w:after="0" w:line="240" w:lineRule="auto"/>
        <w:ind w:firstLine="720"/>
        <w:jc w:val="both"/>
        <w:rPr>
          <w:rFonts w:ascii="Times New Roman" w:hAnsi="Times New Roman" w:cs="Times New Roman"/>
          <w:sz w:val="24"/>
          <w:szCs w:val="24"/>
        </w:rPr>
      </w:pPr>
    </w:p>
    <w:p w14:paraId="66E232DF" w14:textId="33A328AF" w:rsidR="00724259" w:rsidRPr="00824BC0" w:rsidRDefault="00724259" w:rsidP="00F875EF">
      <w:pPr>
        <w:pStyle w:val="ListParagraph"/>
        <w:numPr>
          <w:ilvl w:val="1"/>
          <w:numId w:val="5"/>
        </w:numPr>
        <w:ind w:left="0" w:firstLine="0"/>
        <w:jc w:val="both"/>
        <w:rPr>
          <w:b/>
          <w:bCs/>
          <w:szCs w:val="24"/>
        </w:rPr>
      </w:pPr>
      <w:r w:rsidRPr="00824BC0">
        <w:rPr>
          <w:b/>
          <w:bCs/>
          <w:szCs w:val="24"/>
        </w:rPr>
        <w:t>In view of the foregoing, we recommend</w:t>
      </w:r>
      <w:r w:rsidR="00A54FB3" w:rsidRPr="00824BC0">
        <w:rPr>
          <w:b/>
          <w:bCs/>
          <w:szCs w:val="24"/>
        </w:rPr>
        <w:t>ed</w:t>
      </w:r>
      <w:r w:rsidRPr="00824BC0">
        <w:rPr>
          <w:b/>
          <w:bCs/>
          <w:szCs w:val="24"/>
        </w:rPr>
        <w:t xml:space="preserve"> </w:t>
      </w:r>
      <w:r w:rsidR="00F875EF" w:rsidRPr="00824BC0">
        <w:rPr>
          <w:b/>
          <w:bCs/>
          <w:szCs w:val="24"/>
        </w:rPr>
        <w:t xml:space="preserve">and </w:t>
      </w:r>
      <w:r w:rsidRPr="00824BC0">
        <w:rPr>
          <w:b/>
          <w:bCs/>
          <w:szCs w:val="24"/>
        </w:rPr>
        <w:t>Management</w:t>
      </w:r>
      <w:r w:rsidR="00F875EF" w:rsidRPr="00824BC0">
        <w:rPr>
          <w:b/>
          <w:bCs/>
          <w:szCs w:val="24"/>
        </w:rPr>
        <w:t xml:space="preserve"> agreed to</w:t>
      </w:r>
      <w:r w:rsidRPr="00824BC0">
        <w:rPr>
          <w:b/>
          <w:bCs/>
          <w:szCs w:val="24"/>
        </w:rPr>
        <w:t>:</w:t>
      </w:r>
    </w:p>
    <w:p w14:paraId="0EC6803D" w14:textId="77777777" w:rsidR="00724259" w:rsidRPr="00824BC0" w:rsidRDefault="00724259" w:rsidP="00724259">
      <w:pPr>
        <w:spacing w:after="0" w:line="240" w:lineRule="auto"/>
        <w:ind w:firstLine="720"/>
        <w:jc w:val="both"/>
        <w:rPr>
          <w:rFonts w:ascii="Times New Roman" w:hAnsi="Times New Roman" w:cs="Times New Roman"/>
          <w:b/>
          <w:bCs/>
          <w:sz w:val="24"/>
          <w:szCs w:val="24"/>
        </w:rPr>
      </w:pPr>
    </w:p>
    <w:p w14:paraId="703254DC" w14:textId="34B16481" w:rsidR="00724259" w:rsidRPr="00824BC0" w:rsidRDefault="00F875EF" w:rsidP="00724259">
      <w:pPr>
        <w:pStyle w:val="ListParagraph"/>
        <w:numPr>
          <w:ilvl w:val="0"/>
          <w:numId w:val="10"/>
        </w:numPr>
        <w:ind w:left="709" w:hanging="425"/>
        <w:jc w:val="both"/>
        <w:rPr>
          <w:b/>
          <w:bCs/>
          <w:szCs w:val="24"/>
        </w:rPr>
      </w:pPr>
      <w:r w:rsidRPr="00824BC0">
        <w:rPr>
          <w:b/>
          <w:bCs/>
          <w:szCs w:val="24"/>
        </w:rPr>
        <w:t>r</w:t>
      </w:r>
      <w:r w:rsidR="00724259" w:rsidRPr="00824BC0">
        <w:rPr>
          <w:b/>
          <w:bCs/>
          <w:szCs w:val="24"/>
        </w:rPr>
        <w:t>equire the AO to immediately restitute the cash shortage under her custody amounting to ₱45,0</w:t>
      </w:r>
      <w:r w:rsidR="00A94951" w:rsidRPr="00824BC0">
        <w:rPr>
          <w:b/>
          <w:bCs/>
          <w:szCs w:val="24"/>
        </w:rPr>
        <w:t>5</w:t>
      </w:r>
      <w:r w:rsidR="00724259" w:rsidRPr="00824BC0">
        <w:rPr>
          <w:b/>
          <w:bCs/>
          <w:szCs w:val="24"/>
        </w:rPr>
        <w:t xml:space="preserve">0.00; </w:t>
      </w:r>
    </w:p>
    <w:p w14:paraId="55EE7EAC" w14:textId="77777777" w:rsidR="00724259" w:rsidRPr="00824BC0" w:rsidRDefault="00724259" w:rsidP="00724259">
      <w:pPr>
        <w:pStyle w:val="ListParagraph"/>
        <w:ind w:left="1440"/>
        <w:jc w:val="both"/>
        <w:rPr>
          <w:b/>
          <w:bCs/>
          <w:szCs w:val="24"/>
        </w:rPr>
      </w:pPr>
    </w:p>
    <w:p w14:paraId="397E64FA" w14:textId="13BFF8C6" w:rsidR="00724259" w:rsidRPr="00824BC0" w:rsidRDefault="00F875EF" w:rsidP="00724259">
      <w:pPr>
        <w:pStyle w:val="ListParagraph"/>
        <w:numPr>
          <w:ilvl w:val="0"/>
          <w:numId w:val="10"/>
        </w:numPr>
        <w:ind w:left="709" w:hanging="425"/>
        <w:jc w:val="both"/>
        <w:rPr>
          <w:b/>
          <w:bCs/>
          <w:szCs w:val="24"/>
        </w:rPr>
      </w:pPr>
      <w:r w:rsidRPr="00824BC0">
        <w:rPr>
          <w:b/>
          <w:bCs/>
          <w:szCs w:val="24"/>
        </w:rPr>
        <w:t>i</w:t>
      </w:r>
      <w:r w:rsidR="00724259" w:rsidRPr="00824BC0">
        <w:rPr>
          <w:b/>
          <w:bCs/>
          <w:szCs w:val="24"/>
        </w:rPr>
        <w:t xml:space="preserve">nvestigate the reason why the shortage occurred and impose appropriate sanctions </w:t>
      </w:r>
      <w:r w:rsidR="005B3C88" w:rsidRPr="00824BC0">
        <w:rPr>
          <w:b/>
          <w:bCs/>
          <w:szCs w:val="24"/>
        </w:rPr>
        <w:t>against</w:t>
      </w:r>
      <w:r w:rsidR="00724259" w:rsidRPr="00824BC0">
        <w:rPr>
          <w:b/>
          <w:bCs/>
          <w:szCs w:val="24"/>
        </w:rPr>
        <w:t xml:space="preserve"> persons found liable</w:t>
      </w:r>
      <w:r w:rsidR="005B3C88" w:rsidRPr="00824BC0">
        <w:rPr>
          <w:b/>
          <w:bCs/>
          <w:szCs w:val="24"/>
        </w:rPr>
        <w:t xml:space="preserve"> thereto</w:t>
      </w:r>
      <w:r w:rsidR="00724259" w:rsidRPr="00824BC0">
        <w:rPr>
          <w:b/>
          <w:bCs/>
          <w:szCs w:val="24"/>
        </w:rPr>
        <w:t>;</w:t>
      </w:r>
    </w:p>
    <w:p w14:paraId="40F49227" w14:textId="77777777" w:rsidR="00724259" w:rsidRPr="00824BC0" w:rsidRDefault="00724259" w:rsidP="00724259">
      <w:pPr>
        <w:pStyle w:val="ListParagraph"/>
        <w:ind w:left="1440"/>
        <w:jc w:val="both"/>
        <w:rPr>
          <w:b/>
          <w:bCs/>
          <w:szCs w:val="24"/>
        </w:rPr>
      </w:pPr>
    </w:p>
    <w:p w14:paraId="2B7BF32C" w14:textId="46B77382" w:rsidR="00F875EF" w:rsidRPr="00824BC0" w:rsidRDefault="00F875EF" w:rsidP="004B2CA8">
      <w:pPr>
        <w:pStyle w:val="ListParagraph"/>
        <w:numPr>
          <w:ilvl w:val="0"/>
          <w:numId w:val="10"/>
        </w:numPr>
        <w:ind w:left="709" w:hanging="425"/>
        <w:jc w:val="both"/>
        <w:rPr>
          <w:b/>
          <w:bCs/>
          <w:szCs w:val="24"/>
        </w:rPr>
      </w:pPr>
      <w:r w:rsidRPr="00824BC0">
        <w:rPr>
          <w:b/>
          <w:bCs/>
          <w:szCs w:val="24"/>
        </w:rPr>
        <w:t>i</w:t>
      </w:r>
      <w:r w:rsidR="00724259" w:rsidRPr="00824BC0">
        <w:rPr>
          <w:b/>
          <w:bCs/>
          <w:szCs w:val="24"/>
        </w:rPr>
        <w:t xml:space="preserve">mplement a more effective </w:t>
      </w:r>
      <w:r w:rsidR="005B3C88" w:rsidRPr="00824BC0">
        <w:rPr>
          <w:b/>
          <w:bCs/>
          <w:szCs w:val="24"/>
        </w:rPr>
        <w:t xml:space="preserve">system of </w:t>
      </w:r>
      <w:r w:rsidR="00724259" w:rsidRPr="00824BC0">
        <w:rPr>
          <w:b/>
          <w:bCs/>
          <w:szCs w:val="24"/>
        </w:rPr>
        <w:t xml:space="preserve">internal control in monitoring the collection and </w:t>
      </w:r>
      <w:r w:rsidR="005B3C88" w:rsidRPr="00824BC0">
        <w:rPr>
          <w:b/>
          <w:bCs/>
          <w:szCs w:val="24"/>
        </w:rPr>
        <w:t>remittance/</w:t>
      </w:r>
      <w:r w:rsidR="00724259" w:rsidRPr="00824BC0">
        <w:rPr>
          <w:b/>
          <w:bCs/>
          <w:szCs w:val="24"/>
        </w:rPr>
        <w:t>deposit of fees of the College to ensure that the reports generated by the Cashier and the Accounting Unit</w:t>
      </w:r>
      <w:r w:rsidR="000C52A4">
        <w:rPr>
          <w:b/>
          <w:bCs/>
          <w:szCs w:val="24"/>
        </w:rPr>
        <w:t>s</w:t>
      </w:r>
      <w:r w:rsidR="00724259" w:rsidRPr="00824BC0">
        <w:rPr>
          <w:b/>
          <w:bCs/>
          <w:szCs w:val="24"/>
        </w:rPr>
        <w:t xml:space="preserve"> embody accurate financial data; and</w:t>
      </w:r>
    </w:p>
    <w:p w14:paraId="6CFBFD0D" w14:textId="77777777" w:rsidR="005B3C88" w:rsidRPr="00824BC0" w:rsidRDefault="005B3C88" w:rsidP="005B3C88">
      <w:pPr>
        <w:pStyle w:val="ListParagraph"/>
        <w:ind w:left="709"/>
        <w:jc w:val="both"/>
        <w:rPr>
          <w:b/>
          <w:bCs/>
          <w:szCs w:val="24"/>
        </w:rPr>
      </w:pPr>
    </w:p>
    <w:p w14:paraId="02160B5B" w14:textId="7328B96E" w:rsidR="00724259" w:rsidRPr="00824BC0" w:rsidRDefault="00F875EF" w:rsidP="00F875EF">
      <w:pPr>
        <w:pStyle w:val="ListParagraph"/>
        <w:numPr>
          <w:ilvl w:val="0"/>
          <w:numId w:val="10"/>
        </w:numPr>
        <w:ind w:left="709" w:hanging="425"/>
        <w:jc w:val="both"/>
        <w:rPr>
          <w:b/>
          <w:bCs/>
          <w:szCs w:val="24"/>
        </w:rPr>
      </w:pPr>
      <w:r w:rsidRPr="00824BC0">
        <w:rPr>
          <w:b/>
          <w:bCs/>
          <w:szCs w:val="24"/>
        </w:rPr>
        <w:t>i</w:t>
      </w:r>
      <w:r w:rsidR="00724259" w:rsidRPr="00824BC0">
        <w:rPr>
          <w:b/>
          <w:bCs/>
          <w:szCs w:val="24"/>
        </w:rPr>
        <w:t>nstruct the Accountant to draw the necessary adjusting entries in the books to recognize the Receivable account of the defaulting AO.</w:t>
      </w:r>
    </w:p>
    <w:p w14:paraId="7965EBA4" w14:textId="12A6F917" w:rsidR="00724259" w:rsidRPr="00824BC0" w:rsidRDefault="00724259" w:rsidP="00724259">
      <w:pPr>
        <w:pStyle w:val="ListParagraph"/>
        <w:ind w:left="0"/>
        <w:jc w:val="both"/>
        <w:rPr>
          <w:szCs w:val="24"/>
        </w:rPr>
      </w:pPr>
    </w:p>
    <w:p w14:paraId="4139DBD0" w14:textId="22B1858D" w:rsidR="00F875EF" w:rsidRPr="00824BC0" w:rsidRDefault="00F875EF" w:rsidP="008A485B">
      <w:pPr>
        <w:spacing w:after="0" w:line="240" w:lineRule="auto"/>
        <w:jc w:val="both"/>
        <w:rPr>
          <w:rFonts w:ascii="Times New Roman" w:hAnsi="Times New Roman" w:cs="Times New Roman"/>
          <w:bCs/>
          <w:i/>
          <w:iCs/>
          <w:sz w:val="24"/>
          <w:szCs w:val="24"/>
        </w:rPr>
      </w:pPr>
      <w:r w:rsidRPr="00824BC0">
        <w:rPr>
          <w:rFonts w:ascii="Times New Roman" w:hAnsi="Times New Roman" w:cs="Times New Roman"/>
          <w:bCs/>
          <w:i/>
          <w:iCs/>
          <w:sz w:val="24"/>
          <w:szCs w:val="24"/>
        </w:rPr>
        <w:t>Management Comments:</w:t>
      </w:r>
    </w:p>
    <w:p w14:paraId="0F5D3549" w14:textId="05D1FACE" w:rsidR="00F875EF" w:rsidRPr="00824BC0" w:rsidRDefault="00F875EF" w:rsidP="008A485B">
      <w:pPr>
        <w:spacing w:after="0" w:line="240" w:lineRule="auto"/>
        <w:jc w:val="both"/>
        <w:rPr>
          <w:rFonts w:ascii="Times New Roman" w:hAnsi="Times New Roman" w:cs="Times New Roman"/>
          <w:bCs/>
          <w:iCs/>
          <w:sz w:val="24"/>
          <w:szCs w:val="24"/>
        </w:rPr>
      </w:pPr>
    </w:p>
    <w:p w14:paraId="653B16B1" w14:textId="2CE2B27D" w:rsidR="00AE5EDF" w:rsidRPr="00824BC0" w:rsidRDefault="00AE5EDF" w:rsidP="00AE5EDF">
      <w:pPr>
        <w:pStyle w:val="ListParagraph"/>
        <w:numPr>
          <w:ilvl w:val="1"/>
          <w:numId w:val="5"/>
        </w:numPr>
        <w:ind w:left="0" w:firstLine="0"/>
        <w:jc w:val="both"/>
        <w:rPr>
          <w:szCs w:val="24"/>
        </w:rPr>
      </w:pPr>
      <w:r w:rsidRPr="00824BC0">
        <w:rPr>
          <w:szCs w:val="24"/>
        </w:rPr>
        <w:t xml:space="preserve">The Vice President for </w:t>
      </w:r>
      <w:r w:rsidRPr="00824BC0">
        <w:t>Administration, Finance and Business Affairs (</w:t>
      </w:r>
      <w:r w:rsidRPr="00824BC0">
        <w:rPr>
          <w:szCs w:val="24"/>
        </w:rPr>
        <w:t>VPAFB) stated during the exit conference that Management conducted an investigation on the</w:t>
      </w:r>
      <w:r w:rsidR="005B3C88" w:rsidRPr="00824BC0">
        <w:rPr>
          <w:szCs w:val="24"/>
        </w:rPr>
        <w:t xml:space="preserve"> </w:t>
      </w:r>
      <w:r w:rsidRPr="00824BC0">
        <w:rPr>
          <w:szCs w:val="24"/>
        </w:rPr>
        <w:t xml:space="preserve">cash shortage </w:t>
      </w:r>
      <w:r w:rsidR="005B3C88" w:rsidRPr="00824BC0">
        <w:rPr>
          <w:szCs w:val="24"/>
        </w:rPr>
        <w:t xml:space="preserve">incurred </w:t>
      </w:r>
      <w:r w:rsidRPr="00824BC0">
        <w:rPr>
          <w:szCs w:val="24"/>
        </w:rPr>
        <w:t>and will furnish the Audit Team</w:t>
      </w:r>
      <w:r w:rsidR="005B3C88" w:rsidRPr="00824BC0">
        <w:rPr>
          <w:szCs w:val="24"/>
        </w:rPr>
        <w:t xml:space="preserve"> with</w:t>
      </w:r>
      <w:r w:rsidRPr="00824BC0">
        <w:rPr>
          <w:szCs w:val="24"/>
        </w:rPr>
        <w:t xml:space="preserve"> a copy of the Investigation Report. As for the recognition of a Receivable account, a journal entry is being prepared by the Accounting Unit. </w:t>
      </w:r>
    </w:p>
    <w:p w14:paraId="26E26A94" w14:textId="77777777" w:rsidR="00AE5EDF" w:rsidRPr="00824BC0" w:rsidRDefault="00AE5EDF" w:rsidP="00AE5EDF">
      <w:pPr>
        <w:pStyle w:val="ListParagraph"/>
        <w:ind w:left="0"/>
        <w:jc w:val="both"/>
        <w:rPr>
          <w:szCs w:val="24"/>
        </w:rPr>
      </w:pPr>
    </w:p>
    <w:p w14:paraId="571F8748" w14:textId="5447809D" w:rsidR="00AE5EDF" w:rsidRPr="00824BC0" w:rsidRDefault="00AE5EDF" w:rsidP="00AE5EDF">
      <w:pPr>
        <w:pStyle w:val="ListParagraph"/>
        <w:numPr>
          <w:ilvl w:val="1"/>
          <w:numId w:val="5"/>
        </w:numPr>
        <w:ind w:left="0" w:firstLine="0"/>
        <w:jc w:val="both"/>
        <w:rPr>
          <w:szCs w:val="24"/>
        </w:rPr>
      </w:pPr>
      <w:r w:rsidRPr="00824BC0">
        <w:rPr>
          <w:szCs w:val="24"/>
        </w:rPr>
        <w:t xml:space="preserve">The VPAFB added that the collecting officers previously assigned in the Cash Department of BASC were already relieved of their duties and one of them resigned from </w:t>
      </w:r>
      <w:r w:rsidRPr="00824BC0">
        <w:rPr>
          <w:szCs w:val="24"/>
        </w:rPr>
        <w:lastRenderedPageBreak/>
        <w:t xml:space="preserve">the College without obtaining a clearance. An Acting Cashier was also appointed because the previous </w:t>
      </w:r>
      <w:r w:rsidR="003F61E5" w:rsidRPr="00824BC0">
        <w:rPr>
          <w:szCs w:val="24"/>
        </w:rPr>
        <w:t xml:space="preserve">AO </w:t>
      </w:r>
      <w:r w:rsidRPr="00824BC0">
        <w:rPr>
          <w:szCs w:val="24"/>
        </w:rPr>
        <w:t xml:space="preserve">is currently on leave until July </w:t>
      </w:r>
      <w:r w:rsidR="003F61E5" w:rsidRPr="00824BC0">
        <w:rPr>
          <w:szCs w:val="24"/>
        </w:rPr>
        <w:t xml:space="preserve">7, </w:t>
      </w:r>
      <w:r w:rsidRPr="00824BC0">
        <w:rPr>
          <w:szCs w:val="24"/>
        </w:rPr>
        <w:t xml:space="preserve">2022 </w:t>
      </w:r>
      <w:r w:rsidRPr="00824BC0">
        <w:t>due to health reasons</w:t>
      </w:r>
      <w:r w:rsidRPr="00824BC0">
        <w:rPr>
          <w:szCs w:val="24"/>
        </w:rPr>
        <w:t xml:space="preserve">.  </w:t>
      </w:r>
      <w:bookmarkStart w:id="2" w:name="_Hlk100058083"/>
      <w:r w:rsidRPr="00824BC0">
        <w:rPr>
          <w:szCs w:val="24"/>
        </w:rPr>
        <w:t>The College is currently processing the application for fidelity bond of the Acting Cashier.</w:t>
      </w:r>
      <w:bookmarkEnd w:id="2"/>
      <w:r w:rsidRPr="00824BC0">
        <w:rPr>
          <w:szCs w:val="24"/>
        </w:rPr>
        <w:t xml:space="preserve"> </w:t>
      </w:r>
    </w:p>
    <w:p w14:paraId="6F95B4FD" w14:textId="77777777" w:rsidR="00AE5EDF" w:rsidRPr="00824BC0" w:rsidRDefault="00AE5EDF" w:rsidP="00AE5EDF">
      <w:pPr>
        <w:pStyle w:val="ListParagraph"/>
        <w:ind w:left="0"/>
        <w:jc w:val="both"/>
        <w:rPr>
          <w:szCs w:val="24"/>
        </w:rPr>
      </w:pPr>
    </w:p>
    <w:p w14:paraId="54BA87AD" w14:textId="5DE6DD9B" w:rsidR="00F875EF" w:rsidRPr="00824BC0" w:rsidRDefault="00AE5EDF" w:rsidP="00AE5EDF">
      <w:pPr>
        <w:pStyle w:val="ListParagraph"/>
        <w:numPr>
          <w:ilvl w:val="1"/>
          <w:numId w:val="5"/>
        </w:numPr>
        <w:ind w:left="0" w:firstLine="0"/>
        <w:jc w:val="both"/>
        <w:rPr>
          <w:szCs w:val="24"/>
        </w:rPr>
      </w:pPr>
      <w:r w:rsidRPr="00824BC0">
        <w:rPr>
          <w:szCs w:val="24"/>
        </w:rPr>
        <w:t xml:space="preserve">Regarding the restitution of the cash shortage, the College President informed the Audit Team that a meeting </w:t>
      </w:r>
      <w:r w:rsidR="00441E34">
        <w:rPr>
          <w:szCs w:val="24"/>
        </w:rPr>
        <w:t>between the AO and her resigned staff will be set</w:t>
      </w:r>
      <w:r w:rsidRPr="00824BC0">
        <w:rPr>
          <w:szCs w:val="24"/>
        </w:rPr>
        <w:t xml:space="preserve"> </w:t>
      </w:r>
      <w:r w:rsidR="003F61E5" w:rsidRPr="00824BC0">
        <w:rPr>
          <w:szCs w:val="24"/>
        </w:rPr>
        <w:t>before the</w:t>
      </w:r>
      <w:r w:rsidRPr="00824BC0">
        <w:rPr>
          <w:szCs w:val="24"/>
        </w:rPr>
        <w:t xml:space="preserve"> </w:t>
      </w:r>
      <w:r w:rsidR="006829D8">
        <w:rPr>
          <w:szCs w:val="24"/>
        </w:rPr>
        <w:t>B</w:t>
      </w:r>
      <w:r w:rsidRPr="00824BC0">
        <w:rPr>
          <w:szCs w:val="24"/>
        </w:rPr>
        <w:t xml:space="preserve">arangay in San Ildefonso, Bulacan </w:t>
      </w:r>
      <w:r w:rsidR="003F61E5" w:rsidRPr="00824BC0">
        <w:rPr>
          <w:szCs w:val="24"/>
        </w:rPr>
        <w:t>to resolve the matter</w:t>
      </w:r>
      <w:r w:rsidR="00441E34">
        <w:rPr>
          <w:szCs w:val="24"/>
        </w:rPr>
        <w:t>.</w:t>
      </w:r>
      <w:r w:rsidRPr="00824BC0">
        <w:rPr>
          <w:szCs w:val="24"/>
        </w:rPr>
        <w:t xml:space="preserve"> Management will also join the meeting since the </w:t>
      </w:r>
      <w:r w:rsidR="00661A59" w:rsidRPr="00824BC0">
        <w:rPr>
          <w:szCs w:val="24"/>
        </w:rPr>
        <w:t>person</w:t>
      </w:r>
      <w:r w:rsidR="00441E34">
        <w:rPr>
          <w:szCs w:val="24"/>
        </w:rPr>
        <w:t xml:space="preserve"> involved</w:t>
      </w:r>
      <w:r w:rsidR="00661A59" w:rsidRPr="00824BC0">
        <w:rPr>
          <w:szCs w:val="24"/>
        </w:rPr>
        <w:t xml:space="preserve"> </w:t>
      </w:r>
      <w:r w:rsidRPr="00824BC0">
        <w:rPr>
          <w:szCs w:val="24"/>
        </w:rPr>
        <w:t xml:space="preserve">has outstanding loans with BASC. The AO requested that the restitution </w:t>
      </w:r>
      <w:r w:rsidR="00661A59" w:rsidRPr="00824BC0">
        <w:rPr>
          <w:szCs w:val="24"/>
        </w:rPr>
        <w:t xml:space="preserve">of the cash shortage </w:t>
      </w:r>
      <w:r w:rsidRPr="00824BC0">
        <w:rPr>
          <w:szCs w:val="24"/>
        </w:rPr>
        <w:t xml:space="preserve">be made after the meeting. The Audit Team responded in the affirmative and requested that </w:t>
      </w:r>
      <w:r w:rsidR="009B068B" w:rsidRPr="00824BC0">
        <w:rPr>
          <w:szCs w:val="24"/>
        </w:rPr>
        <w:t xml:space="preserve">they </w:t>
      </w:r>
      <w:r w:rsidRPr="00824BC0">
        <w:rPr>
          <w:szCs w:val="24"/>
        </w:rPr>
        <w:t xml:space="preserve">be informed of </w:t>
      </w:r>
      <w:r w:rsidR="009B068B" w:rsidRPr="00824BC0">
        <w:rPr>
          <w:szCs w:val="24"/>
        </w:rPr>
        <w:t>the meeting’s outcome</w:t>
      </w:r>
      <w:r w:rsidR="00661A59" w:rsidRPr="00824BC0">
        <w:rPr>
          <w:szCs w:val="24"/>
        </w:rPr>
        <w:t xml:space="preserve"> </w:t>
      </w:r>
      <w:bookmarkStart w:id="3" w:name="_Hlk100060444"/>
      <w:r w:rsidR="00661A59" w:rsidRPr="00824BC0">
        <w:rPr>
          <w:szCs w:val="24"/>
        </w:rPr>
        <w:t>and any succeeding actions related to the incident</w:t>
      </w:r>
      <w:bookmarkEnd w:id="3"/>
      <w:r w:rsidRPr="00824BC0">
        <w:rPr>
          <w:szCs w:val="24"/>
        </w:rPr>
        <w:t>.</w:t>
      </w:r>
    </w:p>
    <w:p w14:paraId="7D6BA693" w14:textId="1EA40D29" w:rsidR="00536C90" w:rsidRPr="00824BC0" w:rsidRDefault="00536C90" w:rsidP="008A485B">
      <w:pPr>
        <w:spacing w:after="0" w:line="240" w:lineRule="auto"/>
        <w:jc w:val="both"/>
        <w:rPr>
          <w:rFonts w:ascii="Times New Roman" w:hAnsi="Times New Roman" w:cs="Times New Roman"/>
          <w:b/>
          <w:bCs/>
          <w:i/>
          <w:iCs/>
          <w:sz w:val="24"/>
          <w:szCs w:val="24"/>
        </w:rPr>
      </w:pPr>
    </w:p>
    <w:p w14:paraId="1699A381" w14:textId="77777777" w:rsidR="00AE5EDF" w:rsidRPr="00824BC0" w:rsidRDefault="00AE5EDF" w:rsidP="008A485B">
      <w:pPr>
        <w:spacing w:after="0" w:line="240" w:lineRule="auto"/>
        <w:jc w:val="both"/>
        <w:rPr>
          <w:rFonts w:ascii="Times New Roman" w:hAnsi="Times New Roman" w:cs="Times New Roman"/>
          <w:b/>
          <w:bCs/>
          <w:i/>
          <w:iCs/>
          <w:sz w:val="24"/>
          <w:szCs w:val="24"/>
        </w:rPr>
      </w:pPr>
    </w:p>
    <w:p w14:paraId="0CBC9AD7" w14:textId="27AC53B2" w:rsidR="00A54FB3" w:rsidRPr="00824BC0" w:rsidRDefault="00A54FB3" w:rsidP="008A485B">
      <w:pPr>
        <w:spacing w:after="0" w:line="240" w:lineRule="auto"/>
        <w:jc w:val="both"/>
        <w:rPr>
          <w:rFonts w:ascii="Times New Roman" w:hAnsi="Times New Roman" w:cs="Times New Roman"/>
          <w:bCs/>
          <w:i/>
          <w:iCs/>
          <w:sz w:val="24"/>
          <w:szCs w:val="24"/>
        </w:rPr>
      </w:pPr>
      <w:r w:rsidRPr="00824BC0">
        <w:rPr>
          <w:rFonts w:ascii="Times New Roman" w:hAnsi="Times New Roman" w:cs="Times New Roman"/>
          <w:bCs/>
          <w:i/>
          <w:iCs/>
          <w:sz w:val="24"/>
          <w:szCs w:val="24"/>
        </w:rPr>
        <w:t>Overdue loan repayments – ₱2.586 million</w:t>
      </w:r>
    </w:p>
    <w:p w14:paraId="48D2B22A" w14:textId="77777777" w:rsidR="00A54FB3" w:rsidRPr="00824BC0" w:rsidRDefault="00A54FB3" w:rsidP="008A485B">
      <w:pPr>
        <w:spacing w:after="0" w:line="240" w:lineRule="auto"/>
        <w:jc w:val="both"/>
        <w:rPr>
          <w:rFonts w:ascii="Times New Roman" w:hAnsi="Times New Roman" w:cs="Times New Roman"/>
          <w:b/>
          <w:bCs/>
          <w:i/>
          <w:iCs/>
          <w:sz w:val="24"/>
          <w:szCs w:val="24"/>
        </w:rPr>
      </w:pPr>
    </w:p>
    <w:p w14:paraId="74BB3685" w14:textId="4066AE27" w:rsidR="008A485B" w:rsidRPr="00824BC0" w:rsidRDefault="0031401F" w:rsidP="00A54FB3">
      <w:pPr>
        <w:pStyle w:val="ListParagraph"/>
        <w:numPr>
          <w:ilvl w:val="0"/>
          <w:numId w:val="5"/>
        </w:numPr>
        <w:ind w:left="0" w:firstLine="0"/>
        <w:jc w:val="both"/>
        <w:rPr>
          <w:b/>
          <w:bCs/>
          <w:i/>
          <w:iCs/>
          <w:szCs w:val="24"/>
        </w:rPr>
      </w:pPr>
      <w:r w:rsidRPr="00824BC0">
        <w:rPr>
          <w:b/>
          <w:bCs/>
          <w:i/>
          <w:iCs/>
          <w:szCs w:val="24"/>
        </w:rPr>
        <w:t>Long o</w:t>
      </w:r>
      <w:r w:rsidR="008A485B" w:rsidRPr="00824BC0">
        <w:rPr>
          <w:b/>
          <w:bCs/>
          <w:i/>
          <w:iCs/>
          <w:szCs w:val="24"/>
        </w:rPr>
        <w:t>verdue loan</w:t>
      </w:r>
      <w:r w:rsidRPr="00824BC0">
        <w:rPr>
          <w:b/>
          <w:bCs/>
          <w:i/>
          <w:iCs/>
          <w:szCs w:val="24"/>
        </w:rPr>
        <w:t>s</w:t>
      </w:r>
      <w:r w:rsidR="008A485B" w:rsidRPr="00824BC0">
        <w:rPr>
          <w:b/>
          <w:bCs/>
          <w:i/>
          <w:iCs/>
          <w:szCs w:val="24"/>
        </w:rPr>
        <w:t xml:space="preserve"> of student beneficiaries under the Student Financial Assistance Program (StuFAP) and Student Assistance Fund for Education (SAFE) Loan Program of the Commission on Higher Education (CHED) amounting to ₱563,500.00 and ₱2,023,000.00, respectively, remained outstanding as of year-end due to Management’s failure to institute effective measures of collection. Consequently, the government was deprived of further use of the </w:t>
      </w:r>
      <w:r w:rsidRPr="00824BC0">
        <w:rPr>
          <w:b/>
          <w:bCs/>
          <w:i/>
          <w:iCs/>
          <w:szCs w:val="24"/>
        </w:rPr>
        <w:t>funds</w:t>
      </w:r>
      <w:r w:rsidR="008A485B" w:rsidRPr="00824BC0">
        <w:rPr>
          <w:b/>
          <w:bCs/>
          <w:i/>
          <w:iCs/>
          <w:szCs w:val="24"/>
        </w:rPr>
        <w:t xml:space="preserve"> for other productive purposes.</w:t>
      </w:r>
    </w:p>
    <w:p w14:paraId="4D277391" w14:textId="77777777" w:rsidR="008A485B" w:rsidRPr="00824BC0" w:rsidRDefault="008A485B" w:rsidP="008A485B">
      <w:pPr>
        <w:spacing w:after="0" w:line="240" w:lineRule="auto"/>
        <w:jc w:val="both"/>
        <w:rPr>
          <w:rFonts w:ascii="Times New Roman" w:hAnsi="Times New Roman" w:cs="Times New Roman"/>
          <w:sz w:val="24"/>
          <w:szCs w:val="24"/>
        </w:rPr>
      </w:pPr>
    </w:p>
    <w:p w14:paraId="0A82296E" w14:textId="6682F571" w:rsidR="00A54FB3" w:rsidRPr="00824BC0" w:rsidRDefault="008A485B" w:rsidP="00A54FB3">
      <w:pPr>
        <w:pStyle w:val="ListParagraph"/>
        <w:numPr>
          <w:ilvl w:val="1"/>
          <w:numId w:val="5"/>
        </w:numPr>
        <w:ind w:left="0" w:firstLine="0"/>
        <w:jc w:val="both"/>
        <w:rPr>
          <w:szCs w:val="24"/>
        </w:rPr>
      </w:pPr>
      <w:r w:rsidRPr="00824BC0">
        <w:rPr>
          <w:szCs w:val="24"/>
        </w:rPr>
        <w:t>The Commission on Higher Education (CHED), through its Memorandum Order No. 4, series of 2004 dated January 26, 2004, issued the guidelines for the implementation of the Student Financial Assistance Program (StuFAP) which was aimed to address the existing problems of senior student</w:t>
      </w:r>
      <w:r w:rsidR="0031401F" w:rsidRPr="00824BC0">
        <w:rPr>
          <w:szCs w:val="24"/>
        </w:rPr>
        <w:t xml:space="preserve"> drop-outs</w:t>
      </w:r>
      <w:r w:rsidRPr="00824BC0">
        <w:rPr>
          <w:szCs w:val="24"/>
        </w:rPr>
        <w:t xml:space="preserve"> due to financial problems. The </w:t>
      </w:r>
      <w:r w:rsidR="0031401F" w:rsidRPr="00824BC0">
        <w:rPr>
          <w:szCs w:val="24"/>
        </w:rPr>
        <w:t>P</w:t>
      </w:r>
      <w:r w:rsidRPr="00824BC0">
        <w:rPr>
          <w:szCs w:val="24"/>
        </w:rPr>
        <w:t>rogram is directed towards providing easily accessible interest-free student loan programs to financially needy 3</w:t>
      </w:r>
      <w:r w:rsidRPr="00824BC0">
        <w:rPr>
          <w:szCs w:val="24"/>
          <w:vertAlign w:val="superscript"/>
        </w:rPr>
        <w:t>rd</w:t>
      </w:r>
      <w:r w:rsidRPr="00824BC0">
        <w:rPr>
          <w:szCs w:val="24"/>
        </w:rPr>
        <w:t>, 4</w:t>
      </w:r>
      <w:r w:rsidRPr="00824BC0">
        <w:rPr>
          <w:szCs w:val="24"/>
          <w:vertAlign w:val="superscript"/>
        </w:rPr>
        <w:t>th</w:t>
      </w:r>
      <w:r w:rsidRPr="00824BC0">
        <w:rPr>
          <w:szCs w:val="24"/>
        </w:rPr>
        <w:t xml:space="preserve">, and graduating students. </w:t>
      </w:r>
    </w:p>
    <w:p w14:paraId="1B491474" w14:textId="77777777" w:rsidR="008A485B" w:rsidRPr="00824BC0" w:rsidRDefault="008A485B" w:rsidP="008A485B">
      <w:pPr>
        <w:spacing w:after="0" w:line="240" w:lineRule="auto"/>
        <w:jc w:val="both"/>
        <w:rPr>
          <w:rFonts w:ascii="Times New Roman" w:hAnsi="Times New Roman" w:cs="Times New Roman"/>
          <w:sz w:val="24"/>
          <w:szCs w:val="24"/>
        </w:rPr>
      </w:pPr>
    </w:p>
    <w:p w14:paraId="5DA2629B" w14:textId="0A831750" w:rsidR="008A485B" w:rsidRPr="00824BC0" w:rsidRDefault="008A485B" w:rsidP="00A54FB3">
      <w:pPr>
        <w:pStyle w:val="ListParagraph"/>
        <w:numPr>
          <w:ilvl w:val="1"/>
          <w:numId w:val="5"/>
        </w:numPr>
        <w:ind w:left="0" w:firstLine="0"/>
        <w:jc w:val="both"/>
        <w:rPr>
          <w:szCs w:val="24"/>
        </w:rPr>
      </w:pPr>
      <w:r w:rsidRPr="00824BC0">
        <w:rPr>
          <w:szCs w:val="24"/>
        </w:rPr>
        <w:t xml:space="preserve">Under the StuFAP, qualified students may be allowed to borrow a maximum of </w:t>
      </w:r>
      <w:bookmarkStart w:id="4" w:name="_Hlk95122788"/>
      <w:r w:rsidRPr="00824BC0">
        <w:rPr>
          <w:szCs w:val="24"/>
        </w:rPr>
        <w:t>₱</w:t>
      </w:r>
      <w:bookmarkEnd w:id="4"/>
      <w:r w:rsidRPr="00824BC0">
        <w:rPr>
          <w:szCs w:val="24"/>
        </w:rPr>
        <w:t xml:space="preserve">8,000.00 per semester and shall not be charged any interest in their loan fund. Loans below ₱4,000.00 are payable within five years, while those amounting to ₱4,001.00 and above are payable within ten years.  </w:t>
      </w:r>
    </w:p>
    <w:p w14:paraId="39ADC48D" w14:textId="77777777" w:rsidR="008A485B" w:rsidRPr="00824BC0" w:rsidRDefault="008A485B" w:rsidP="008A485B">
      <w:pPr>
        <w:spacing w:after="0" w:line="240" w:lineRule="auto"/>
        <w:jc w:val="both"/>
        <w:rPr>
          <w:rFonts w:ascii="Times New Roman" w:hAnsi="Times New Roman" w:cs="Times New Roman"/>
          <w:sz w:val="24"/>
          <w:szCs w:val="24"/>
        </w:rPr>
      </w:pPr>
    </w:p>
    <w:p w14:paraId="5A5A32CF" w14:textId="3BF3BC56" w:rsidR="008A485B" w:rsidRPr="00824BC0" w:rsidRDefault="008A485B" w:rsidP="00A54FB3">
      <w:pPr>
        <w:pStyle w:val="ListParagraph"/>
        <w:numPr>
          <w:ilvl w:val="1"/>
          <w:numId w:val="5"/>
        </w:numPr>
        <w:ind w:left="0" w:firstLine="0"/>
        <w:jc w:val="both"/>
        <w:rPr>
          <w:szCs w:val="24"/>
        </w:rPr>
      </w:pPr>
      <w:r w:rsidRPr="00824BC0">
        <w:rPr>
          <w:szCs w:val="24"/>
        </w:rPr>
        <w:t xml:space="preserve">Loan assistance in the total amount of ₱692,000.00 was extended to 266 students of BASC in CYs 2004 to 2005. The maximum amount granted to a student under the StuFAP amounted to ₱3,000.00. As such, all grantees were obliged to pay their loaned amounts within five years from receipt thereof. However, the Audit Team </w:t>
      </w:r>
      <w:r w:rsidR="0031401F" w:rsidRPr="00824BC0">
        <w:rPr>
          <w:szCs w:val="24"/>
        </w:rPr>
        <w:t xml:space="preserve">found out </w:t>
      </w:r>
      <w:r w:rsidRPr="00824BC0">
        <w:rPr>
          <w:szCs w:val="24"/>
        </w:rPr>
        <w:t>that of the 266 beneficiaries, only 26 students were able to fully settle their accounts. Meanwhile, four partially paid and the rest defaulted</w:t>
      </w:r>
      <w:r w:rsidR="0031401F" w:rsidRPr="00824BC0">
        <w:rPr>
          <w:szCs w:val="24"/>
        </w:rPr>
        <w:t xml:space="preserve"> on</w:t>
      </w:r>
      <w:r w:rsidRPr="00824BC0">
        <w:rPr>
          <w:szCs w:val="24"/>
        </w:rPr>
        <w:t xml:space="preserve"> their payments.</w:t>
      </w:r>
    </w:p>
    <w:p w14:paraId="515C0404" w14:textId="77777777" w:rsidR="008A485B" w:rsidRPr="00824BC0" w:rsidRDefault="008A485B" w:rsidP="008A485B">
      <w:pPr>
        <w:spacing w:after="0" w:line="240" w:lineRule="auto"/>
        <w:jc w:val="both"/>
        <w:rPr>
          <w:rFonts w:ascii="Times New Roman" w:hAnsi="Times New Roman" w:cs="Times New Roman"/>
          <w:sz w:val="24"/>
          <w:szCs w:val="24"/>
        </w:rPr>
      </w:pPr>
    </w:p>
    <w:p w14:paraId="5212FEF8" w14:textId="7F1D7397" w:rsidR="008A485B" w:rsidRPr="00824BC0" w:rsidRDefault="008A485B" w:rsidP="00A54FB3">
      <w:pPr>
        <w:pStyle w:val="ListParagraph"/>
        <w:numPr>
          <w:ilvl w:val="1"/>
          <w:numId w:val="5"/>
        </w:numPr>
        <w:ind w:left="0" w:firstLine="0"/>
        <w:jc w:val="both"/>
        <w:rPr>
          <w:szCs w:val="24"/>
        </w:rPr>
      </w:pPr>
      <w:r w:rsidRPr="00824BC0">
        <w:rPr>
          <w:szCs w:val="24"/>
        </w:rPr>
        <w:t>Review of</w:t>
      </w:r>
      <w:r w:rsidR="0031401F" w:rsidRPr="00824BC0">
        <w:rPr>
          <w:szCs w:val="24"/>
        </w:rPr>
        <w:t xml:space="preserve"> attendant</w:t>
      </w:r>
      <w:r w:rsidRPr="00824BC0">
        <w:rPr>
          <w:szCs w:val="24"/>
        </w:rPr>
        <w:t xml:space="preserve"> documents showed that only ₱160,500.00 or 23.19% of the total loaned amount under the StuFAP was collected by BASC since </w:t>
      </w:r>
      <w:r w:rsidR="0031401F" w:rsidRPr="00824BC0">
        <w:rPr>
          <w:szCs w:val="24"/>
        </w:rPr>
        <w:t xml:space="preserve">the date of </w:t>
      </w:r>
      <w:r w:rsidRPr="00824BC0">
        <w:rPr>
          <w:szCs w:val="24"/>
        </w:rPr>
        <w:t>grant, leaving a balance of ₱531,500.00 as of December 31, 2021. This amount has been outstanding in the books for more than ten years.</w:t>
      </w:r>
    </w:p>
    <w:p w14:paraId="3DCC510D" w14:textId="77777777" w:rsidR="008A485B" w:rsidRPr="00824BC0" w:rsidRDefault="008A485B" w:rsidP="008A485B">
      <w:pPr>
        <w:spacing w:after="0" w:line="240" w:lineRule="auto"/>
        <w:ind w:firstLine="720"/>
        <w:jc w:val="both"/>
        <w:rPr>
          <w:rFonts w:ascii="Times New Roman" w:hAnsi="Times New Roman" w:cs="Times New Roman"/>
          <w:sz w:val="24"/>
          <w:szCs w:val="24"/>
        </w:rPr>
      </w:pPr>
    </w:p>
    <w:p w14:paraId="624E3B35" w14:textId="27E85434" w:rsidR="008A485B" w:rsidRPr="00824BC0" w:rsidRDefault="008A485B" w:rsidP="00A54FB3">
      <w:pPr>
        <w:pStyle w:val="ListParagraph"/>
        <w:numPr>
          <w:ilvl w:val="1"/>
          <w:numId w:val="5"/>
        </w:numPr>
        <w:ind w:left="0" w:firstLine="0"/>
        <w:jc w:val="both"/>
        <w:rPr>
          <w:szCs w:val="24"/>
        </w:rPr>
      </w:pPr>
      <w:r w:rsidRPr="00824BC0">
        <w:rPr>
          <w:szCs w:val="24"/>
        </w:rPr>
        <w:lastRenderedPageBreak/>
        <w:t>On the other hand, the Student Assistance Fund for Education for Loan (SAFE Loan) Program was launched by CHED in 2008 through its Memorandum Order No. 25, series of 2008 dated June 3, 2008. It is another program geared towards increasing the number of students who are able to complete their courses and graduate from the various colleges and universities in the country. The qualified loan grantees can also borrow as much as ₱8,000.00, depending on the individual circumstances and requirements.</w:t>
      </w:r>
    </w:p>
    <w:p w14:paraId="6E425823" w14:textId="77777777" w:rsidR="008A485B" w:rsidRPr="00824BC0" w:rsidRDefault="008A485B" w:rsidP="008A485B">
      <w:pPr>
        <w:spacing w:after="0" w:line="240" w:lineRule="auto"/>
        <w:ind w:firstLine="720"/>
        <w:jc w:val="both"/>
        <w:rPr>
          <w:rFonts w:ascii="Times New Roman" w:hAnsi="Times New Roman" w:cs="Times New Roman"/>
          <w:sz w:val="24"/>
          <w:szCs w:val="24"/>
        </w:rPr>
      </w:pPr>
    </w:p>
    <w:p w14:paraId="023C2889" w14:textId="364A3B90" w:rsidR="008A485B" w:rsidRPr="00824BC0" w:rsidRDefault="008A485B" w:rsidP="00A54FB3">
      <w:pPr>
        <w:pStyle w:val="ListParagraph"/>
        <w:numPr>
          <w:ilvl w:val="1"/>
          <w:numId w:val="5"/>
        </w:numPr>
        <w:ind w:left="0" w:firstLine="0"/>
        <w:jc w:val="both"/>
        <w:rPr>
          <w:szCs w:val="24"/>
        </w:rPr>
      </w:pPr>
      <w:r w:rsidRPr="00824BC0">
        <w:rPr>
          <w:szCs w:val="24"/>
        </w:rPr>
        <w:t>For CY 2008, a total amount of ₱2,504,000.00 was loaned to 491 students of BASC, detailed as follows:</w:t>
      </w:r>
    </w:p>
    <w:p w14:paraId="58EBBFF2" w14:textId="77777777" w:rsidR="008A485B" w:rsidRPr="00824BC0" w:rsidRDefault="008A485B" w:rsidP="008A485B">
      <w:pPr>
        <w:spacing w:after="0" w:line="240" w:lineRule="auto"/>
        <w:jc w:val="both"/>
        <w:rPr>
          <w:rFonts w:ascii="Times New Roman" w:hAnsi="Times New Roman" w:cs="Times New Roman"/>
          <w:sz w:val="24"/>
          <w:szCs w:val="24"/>
          <w:lang w:val="en-US"/>
        </w:rPr>
      </w:pPr>
    </w:p>
    <w:tbl>
      <w:tblPr>
        <w:tblStyle w:val="TableGrid"/>
        <w:tblW w:w="8460" w:type="dxa"/>
        <w:tblInd w:w="85" w:type="dxa"/>
        <w:tblLook w:val="04A0" w:firstRow="1" w:lastRow="0" w:firstColumn="1" w:lastColumn="0" w:noHBand="0" w:noVBand="1"/>
      </w:tblPr>
      <w:tblGrid>
        <w:gridCol w:w="2250"/>
        <w:gridCol w:w="1800"/>
        <w:gridCol w:w="2239"/>
        <w:gridCol w:w="2171"/>
      </w:tblGrid>
      <w:tr w:rsidR="008A485B" w:rsidRPr="00824BC0" w14:paraId="09C4A8B3" w14:textId="77777777" w:rsidTr="00536C90">
        <w:trPr>
          <w:tblHeader/>
        </w:trPr>
        <w:tc>
          <w:tcPr>
            <w:tcW w:w="2250" w:type="dxa"/>
            <w:vAlign w:val="bottom"/>
          </w:tcPr>
          <w:p w14:paraId="672F9F40" w14:textId="77777777" w:rsidR="008A485B" w:rsidRPr="00824BC0" w:rsidRDefault="008A485B" w:rsidP="008A485B">
            <w:pPr>
              <w:jc w:val="center"/>
              <w:rPr>
                <w:rFonts w:ascii="Times New Roman" w:hAnsi="Times New Roman" w:cs="Times New Roman"/>
                <w:b/>
                <w:bCs/>
                <w:sz w:val="24"/>
                <w:szCs w:val="24"/>
              </w:rPr>
            </w:pPr>
            <w:r w:rsidRPr="00824BC0">
              <w:rPr>
                <w:rFonts w:ascii="Times New Roman" w:hAnsi="Times New Roman" w:cs="Times New Roman"/>
                <w:b/>
                <w:bCs/>
                <w:sz w:val="24"/>
                <w:szCs w:val="24"/>
              </w:rPr>
              <w:t>Check Date</w:t>
            </w:r>
          </w:p>
        </w:tc>
        <w:tc>
          <w:tcPr>
            <w:tcW w:w="1800" w:type="dxa"/>
            <w:vAlign w:val="bottom"/>
          </w:tcPr>
          <w:p w14:paraId="28FD4027" w14:textId="77777777" w:rsidR="008A485B" w:rsidRPr="00824BC0" w:rsidRDefault="008A485B" w:rsidP="008A485B">
            <w:pPr>
              <w:jc w:val="center"/>
              <w:rPr>
                <w:rFonts w:ascii="Times New Roman" w:hAnsi="Times New Roman" w:cs="Times New Roman"/>
                <w:b/>
                <w:bCs/>
                <w:sz w:val="24"/>
                <w:szCs w:val="24"/>
              </w:rPr>
            </w:pPr>
            <w:r w:rsidRPr="00824BC0">
              <w:rPr>
                <w:rFonts w:ascii="Times New Roman" w:hAnsi="Times New Roman" w:cs="Times New Roman"/>
                <w:b/>
                <w:bCs/>
                <w:sz w:val="24"/>
                <w:szCs w:val="24"/>
              </w:rPr>
              <w:t>Check No.</w:t>
            </w:r>
          </w:p>
        </w:tc>
        <w:tc>
          <w:tcPr>
            <w:tcW w:w="2239" w:type="dxa"/>
            <w:vAlign w:val="bottom"/>
          </w:tcPr>
          <w:p w14:paraId="1692F335" w14:textId="77777777" w:rsidR="008A485B" w:rsidRPr="00824BC0" w:rsidRDefault="008A485B" w:rsidP="008A485B">
            <w:pPr>
              <w:jc w:val="center"/>
              <w:rPr>
                <w:rFonts w:ascii="Times New Roman" w:hAnsi="Times New Roman" w:cs="Times New Roman"/>
                <w:b/>
                <w:bCs/>
                <w:sz w:val="24"/>
                <w:szCs w:val="24"/>
              </w:rPr>
            </w:pPr>
            <w:r w:rsidRPr="00824BC0">
              <w:rPr>
                <w:rFonts w:ascii="Times New Roman" w:hAnsi="Times New Roman" w:cs="Times New Roman"/>
                <w:b/>
                <w:bCs/>
                <w:sz w:val="24"/>
                <w:szCs w:val="24"/>
              </w:rPr>
              <w:t>No. of Student Beneficiaries</w:t>
            </w:r>
          </w:p>
        </w:tc>
        <w:tc>
          <w:tcPr>
            <w:tcW w:w="2171" w:type="dxa"/>
            <w:vAlign w:val="bottom"/>
          </w:tcPr>
          <w:p w14:paraId="1E890655" w14:textId="77777777" w:rsidR="008A485B" w:rsidRPr="00824BC0" w:rsidRDefault="008A485B" w:rsidP="008A485B">
            <w:pPr>
              <w:jc w:val="center"/>
              <w:rPr>
                <w:rFonts w:ascii="Times New Roman" w:hAnsi="Times New Roman" w:cs="Times New Roman"/>
                <w:b/>
                <w:bCs/>
                <w:sz w:val="24"/>
                <w:szCs w:val="24"/>
              </w:rPr>
            </w:pPr>
            <w:r w:rsidRPr="00824BC0">
              <w:rPr>
                <w:rFonts w:ascii="Times New Roman" w:hAnsi="Times New Roman" w:cs="Times New Roman"/>
                <w:b/>
                <w:bCs/>
                <w:sz w:val="24"/>
                <w:szCs w:val="24"/>
              </w:rPr>
              <w:t>Amount</w:t>
            </w:r>
          </w:p>
        </w:tc>
      </w:tr>
      <w:tr w:rsidR="008A485B" w:rsidRPr="00824BC0" w14:paraId="10A77458" w14:textId="77777777" w:rsidTr="00A54FB3">
        <w:tc>
          <w:tcPr>
            <w:tcW w:w="2250" w:type="dxa"/>
          </w:tcPr>
          <w:p w14:paraId="588888E2" w14:textId="77777777" w:rsidR="008A485B" w:rsidRPr="00824BC0" w:rsidRDefault="008A485B" w:rsidP="008A485B">
            <w:pPr>
              <w:jc w:val="center"/>
              <w:rPr>
                <w:rFonts w:ascii="Times New Roman" w:hAnsi="Times New Roman" w:cs="Times New Roman"/>
                <w:sz w:val="24"/>
                <w:szCs w:val="24"/>
              </w:rPr>
            </w:pPr>
            <w:r w:rsidRPr="00824BC0">
              <w:rPr>
                <w:rFonts w:ascii="Times New Roman" w:hAnsi="Times New Roman" w:cs="Times New Roman"/>
                <w:sz w:val="24"/>
                <w:szCs w:val="24"/>
              </w:rPr>
              <w:t>07/15/2008</w:t>
            </w:r>
          </w:p>
        </w:tc>
        <w:tc>
          <w:tcPr>
            <w:tcW w:w="1800" w:type="dxa"/>
          </w:tcPr>
          <w:p w14:paraId="08F8263D" w14:textId="77777777" w:rsidR="008A485B" w:rsidRPr="00824BC0" w:rsidRDefault="008A485B" w:rsidP="008A485B">
            <w:pPr>
              <w:jc w:val="center"/>
              <w:rPr>
                <w:rFonts w:ascii="Times New Roman" w:hAnsi="Times New Roman" w:cs="Times New Roman"/>
                <w:sz w:val="24"/>
                <w:szCs w:val="24"/>
              </w:rPr>
            </w:pPr>
            <w:r w:rsidRPr="00824BC0">
              <w:rPr>
                <w:rFonts w:ascii="Times New Roman" w:hAnsi="Times New Roman" w:cs="Times New Roman"/>
                <w:sz w:val="24"/>
                <w:szCs w:val="24"/>
              </w:rPr>
              <w:t>481827</w:t>
            </w:r>
          </w:p>
        </w:tc>
        <w:tc>
          <w:tcPr>
            <w:tcW w:w="2239" w:type="dxa"/>
          </w:tcPr>
          <w:p w14:paraId="32DFA75C" w14:textId="77777777" w:rsidR="008A485B" w:rsidRPr="00824BC0" w:rsidRDefault="008A485B" w:rsidP="008A485B">
            <w:pPr>
              <w:jc w:val="center"/>
              <w:rPr>
                <w:rFonts w:ascii="Times New Roman" w:hAnsi="Times New Roman" w:cs="Times New Roman"/>
                <w:sz w:val="24"/>
                <w:szCs w:val="24"/>
              </w:rPr>
            </w:pPr>
            <w:r w:rsidRPr="00824BC0">
              <w:rPr>
                <w:rFonts w:ascii="Times New Roman" w:hAnsi="Times New Roman" w:cs="Times New Roman"/>
                <w:sz w:val="24"/>
                <w:szCs w:val="24"/>
              </w:rPr>
              <w:t>50</w:t>
            </w:r>
          </w:p>
        </w:tc>
        <w:tc>
          <w:tcPr>
            <w:tcW w:w="2171" w:type="dxa"/>
          </w:tcPr>
          <w:p w14:paraId="49244CE9" w14:textId="77777777" w:rsidR="008A485B" w:rsidRPr="00824BC0" w:rsidRDefault="008A485B" w:rsidP="008A485B">
            <w:pPr>
              <w:jc w:val="right"/>
              <w:rPr>
                <w:rFonts w:ascii="Times New Roman" w:hAnsi="Times New Roman" w:cs="Times New Roman"/>
                <w:sz w:val="24"/>
                <w:szCs w:val="24"/>
              </w:rPr>
            </w:pPr>
            <w:r w:rsidRPr="00824BC0">
              <w:rPr>
                <w:rFonts w:ascii="Times New Roman" w:hAnsi="Times New Roman" w:cs="Times New Roman"/>
                <w:sz w:val="24"/>
                <w:szCs w:val="24"/>
              </w:rPr>
              <w:t>₱     300,000.00</w:t>
            </w:r>
          </w:p>
        </w:tc>
      </w:tr>
      <w:tr w:rsidR="008A485B" w:rsidRPr="00824BC0" w14:paraId="38C0B655" w14:textId="77777777" w:rsidTr="00A54FB3">
        <w:tc>
          <w:tcPr>
            <w:tcW w:w="2250" w:type="dxa"/>
          </w:tcPr>
          <w:p w14:paraId="03270474" w14:textId="77777777" w:rsidR="008A485B" w:rsidRPr="00824BC0" w:rsidRDefault="008A485B" w:rsidP="008A485B">
            <w:pPr>
              <w:jc w:val="center"/>
              <w:rPr>
                <w:rFonts w:ascii="Times New Roman" w:hAnsi="Times New Roman" w:cs="Times New Roman"/>
                <w:sz w:val="24"/>
                <w:szCs w:val="24"/>
              </w:rPr>
            </w:pPr>
            <w:r w:rsidRPr="00824BC0">
              <w:rPr>
                <w:rFonts w:ascii="Times New Roman" w:hAnsi="Times New Roman" w:cs="Times New Roman"/>
                <w:sz w:val="24"/>
                <w:szCs w:val="24"/>
              </w:rPr>
              <w:t>08/11/2008</w:t>
            </w:r>
          </w:p>
        </w:tc>
        <w:tc>
          <w:tcPr>
            <w:tcW w:w="1800" w:type="dxa"/>
          </w:tcPr>
          <w:p w14:paraId="0AE27743" w14:textId="77777777" w:rsidR="008A485B" w:rsidRPr="00824BC0" w:rsidRDefault="008A485B" w:rsidP="008A485B">
            <w:pPr>
              <w:jc w:val="center"/>
              <w:rPr>
                <w:rFonts w:ascii="Times New Roman" w:hAnsi="Times New Roman" w:cs="Times New Roman"/>
                <w:sz w:val="24"/>
                <w:szCs w:val="24"/>
              </w:rPr>
            </w:pPr>
            <w:r w:rsidRPr="00824BC0">
              <w:rPr>
                <w:rFonts w:ascii="Times New Roman" w:hAnsi="Times New Roman" w:cs="Times New Roman"/>
                <w:sz w:val="24"/>
                <w:szCs w:val="24"/>
              </w:rPr>
              <w:t>481843</w:t>
            </w:r>
          </w:p>
        </w:tc>
        <w:tc>
          <w:tcPr>
            <w:tcW w:w="2239" w:type="dxa"/>
          </w:tcPr>
          <w:p w14:paraId="2D0603C2" w14:textId="77777777" w:rsidR="008A485B" w:rsidRPr="00824BC0" w:rsidRDefault="008A485B" w:rsidP="008A485B">
            <w:pPr>
              <w:jc w:val="center"/>
              <w:rPr>
                <w:rFonts w:ascii="Times New Roman" w:hAnsi="Times New Roman" w:cs="Times New Roman"/>
                <w:sz w:val="24"/>
                <w:szCs w:val="24"/>
              </w:rPr>
            </w:pPr>
            <w:r w:rsidRPr="00824BC0">
              <w:rPr>
                <w:rFonts w:ascii="Times New Roman" w:hAnsi="Times New Roman" w:cs="Times New Roman"/>
                <w:sz w:val="24"/>
                <w:szCs w:val="24"/>
              </w:rPr>
              <w:t>140</w:t>
            </w:r>
          </w:p>
        </w:tc>
        <w:tc>
          <w:tcPr>
            <w:tcW w:w="2171" w:type="dxa"/>
          </w:tcPr>
          <w:p w14:paraId="5ACAFFB5" w14:textId="77777777" w:rsidR="008A485B" w:rsidRPr="00824BC0" w:rsidRDefault="008A485B" w:rsidP="008A485B">
            <w:pPr>
              <w:jc w:val="right"/>
              <w:rPr>
                <w:rFonts w:ascii="Times New Roman" w:hAnsi="Times New Roman" w:cs="Times New Roman"/>
                <w:sz w:val="24"/>
                <w:szCs w:val="24"/>
              </w:rPr>
            </w:pPr>
            <w:r w:rsidRPr="00824BC0">
              <w:rPr>
                <w:rFonts w:ascii="Times New Roman" w:hAnsi="Times New Roman" w:cs="Times New Roman"/>
                <w:sz w:val="24"/>
                <w:szCs w:val="24"/>
              </w:rPr>
              <w:t>700,000.00</w:t>
            </w:r>
          </w:p>
        </w:tc>
      </w:tr>
      <w:tr w:rsidR="008A485B" w:rsidRPr="00824BC0" w14:paraId="0A83BFC6" w14:textId="77777777" w:rsidTr="00A54FB3">
        <w:tc>
          <w:tcPr>
            <w:tcW w:w="2250" w:type="dxa"/>
          </w:tcPr>
          <w:p w14:paraId="541FA881" w14:textId="77777777" w:rsidR="008A485B" w:rsidRPr="00824BC0" w:rsidRDefault="008A485B" w:rsidP="008A485B">
            <w:pPr>
              <w:jc w:val="center"/>
              <w:rPr>
                <w:rFonts w:ascii="Times New Roman" w:hAnsi="Times New Roman" w:cs="Times New Roman"/>
                <w:sz w:val="24"/>
                <w:szCs w:val="24"/>
              </w:rPr>
            </w:pPr>
            <w:r w:rsidRPr="00824BC0">
              <w:rPr>
                <w:rFonts w:ascii="Times New Roman" w:hAnsi="Times New Roman" w:cs="Times New Roman"/>
                <w:sz w:val="24"/>
                <w:szCs w:val="24"/>
              </w:rPr>
              <w:t>09/12/2008</w:t>
            </w:r>
          </w:p>
        </w:tc>
        <w:tc>
          <w:tcPr>
            <w:tcW w:w="1800" w:type="dxa"/>
          </w:tcPr>
          <w:p w14:paraId="5D903D98" w14:textId="77777777" w:rsidR="008A485B" w:rsidRPr="00824BC0" w:rsidRDefault="008A485B" w:rsidP="008A485B">
            <w:pPr>
              <w:jc w:val="center"/>
              <w:rPr>
                <w:rFonts w:ascii="Times New Roman" w:hAnsi="Times New Roman" w:cs="Times New Roman"/>
                <w:sz w:val="24"/>
                <w:szCs w:val="24"/>
              </w:rPr>
            </w:pPr>
            <w:r w:rsidRPr="00824BC0">
              <w:rPr>
                <w:rFonts w:ascii="Times New Roman" w:hAnsi="Times New Roman" w:cs="Times New Roman"/>
                <w:sz w:val="24"/>
                <w:szCs w:val="24"/>
              </w:rPr>
              <w:t>481857</w:t>
            </w:r>
          </w:p>
        </w:tc>
        <w:tc>
          <w:tcPr>
            <w:tcW w:w="2239" w:type="dxa"/>
          </w:tcPr>
          <w:p w14:paraId="0197DD2B" w14:textId="77777777" w:rsidR="008A485B" w:rsidRPr="00824BC0" w:rsidRDefault="008A485B" w:rsidP="008A485B">
            <w:pPr>
              <w:jc w:val="center"/>
              <w:rPr>
                <w:rFonts w:ascii="Times New Roman" w:hAnsi="Times New Roman" w:cs="Times New Roman"/>
                <w:sz w:val="24"/>
                <w:szCs w:val="24"/>
              </w:rPr>
            </w:pPr>
            <w:r w:rsidRPr="00824BC0">
              <w:rPr>
                <w:rFonts w:ascii="Times New Roman" w:hAnsi="Times New Roman" w:cs="Times New Roman"/>
                <w:sz w:val="24"/>
                <w:szCs w:val="24"/>
              </w:rPr>
              <w:t>223</w:t>
            </w:r>
          </w:p>
        </w:tc>
        <w:tc>
          <w:tcPr>
            <w:tcW w:w="2171" w:type="dxa"/>
          </w:tcPr>
          <w:p w14:paraId="3A0C7225" w14:textId="77777777" w:rsidR="008A485B" w:rsidRPr="00824BC0" w:rsidRDefault="008A485B" w:rsidP="008A485B">
            <w:pPr>
              <w:jc w:val="right"/>
              <w:rPr>
                <w:rFonts w:ascii="Times New Roman" w:hAnsi="Times New Roman" w:cs="Times New Roman"/>
                <w:sz w:val="24"/>
                <w:szCs w:val="24"/>
              </w:rPr>
            </w:pPr>
            <w:r w:rsidRPr="00824BC0">
              <w:rPr>
                <w:rFonts w:ascii="Times New Roman" w:hAnsi="Times New Roman" w:cs="Times New Roman"/>
                <w:sz w:val="24"/>
                <w:szCs w:val="24"/>
              </w:rPr>
              <w:t>1,115,000.00</w:t>
            </w:r>
          </w:p>
        </w:tc>
      </w:tr>
      <w:tr w:rsidR="008A485B" w:rsidRPr="00824BC0" w14:paraId="6A42C286" w14:textId="77777777" w:rsidTr="00A54FB3">
        <w:tc>
          <w:tcPr>
            <w:tcW w:w="2250" w:type="dxa"/>
          </w:tcPr>
          <w:p w14:paraId="7B60D50F" w14:textId="77777777" w:rsidR="008A485B" w:rsidRPr="00824BC0" w:rsidRDefault="008A485B" w:rsidP="008A485B">
            <w:pPr>
              <w:jc w:val="center"/>
              <w:rPr>
                <w:rFonts w:ascii="Times New Roman" w:hAnsi="Times New Roman" w:cs="Times New Roman"/>
                <w:sz w:val="24"/>
                <w:szCs w:val="24"/>
              </w:rPr>
            </w:pPr>
            <w:r w:rsidRPr="00824BC0">
              <w:rPr>
                <w:rFonts w:ascii="Times New Roman" w:hAnsi="Times New Roman" w:cs="Times New Roman"/>
                <w:sz w:val="24"/>
                <w:szCs w:val="24"/>
              </w:rPr>
              <w:t>10/25/2008</w:t>
            </w:r>
          </w:p>
        </w:tc>
        <w:tc>
          <w:tcPr>
            <w:tcW w:w="1800" w:type="dxa"/>
          </w:tcPr>
          <w:p w14:paraId="4CDAA140" w14:textId="77777777" w:rsidR="008A485B" w:rsidRPr="00824BC0" w:rsidRDefault="008A485B" w:rsidP="008A485B">
            <w:pPr>
              <w:jc w:val="center"/>
              <w:rPr>
                <w:rFonts w:ascii="Times New Roman" w:hAnsi="Times New Roman" w:cs="Times New Roman"/>
                <w:sz w:val="24"/>
                <w:szCs w:val="24"/>
              </w:rPr>
            </w:pPr>
            <w:r w:rsidRPr="00824BC0">
              <w:rPr>
                <w:rFonts w:ascii="Times New Roman" w:hAnsi="Times New Roman" w:cs="Times New Roman"/>
                <w:sz w:val="24"/>
                <w:szCs w:val="24"/>
              </w:rPr>
              <w:t>481883</w:t>
            </w:r>
          </w:p>
        </w:tc>
        <w:tc>
          <w:tcPr>
            <w:tcW w:w="2239" w:type="dxa"/>
          </w:tcPr>
          <w:p w14:paraId="7A68F760" w14:textId="77777777" w:rsidR="008A485B" w:rsidRPr="00824BC0" w:rsidRDefault="008A485B" w:rsidP="008A485B">
            <w:pPr>
              <w:jc w:val="center"/>
              <w:rPr>
                <w:rFonts w:ascii="Times New Roman" w:hAnsi="Times New Roman" w:cs="Times New Roman"/>
                <w:sz w:val="24"/>
                <w:szCs w:val="24"/>
              </w:rPr>
            </w:pPr>
            <w:r w:rsidRPr="00824BC0">
              <w:rPr>
                <w:rFonts w:ascii="Times New Roman" w:hAnsi="Times New Roman" w:cs="Times New Roman"/>
                <w:sz w:val="24"/>
                <w:szCs w:val="24"/>
              </w:rPr>
              <w:t>78</w:t>
            </w:r>
          </w:p>
        </w:tc>
        <w:tc>
          <w:tcPr>
            <w:tcW w:w="2171" w:type="dxa"/>
          </w:tcPr>
          <w:p w14:paraId="27E729FE" w14:textId="77777777" w:rsidR="008A485B" w:rsidRPr="00824BC0" w:rsidRDefault="008A485B" w:rsidP="008A485B">
            <w:pPr>
              <w:jc w:val="right"/>
              <w:rPr>
                <w:rFonts w:ascii="Times New Roman" w:hAnsi="Times New Roman" w:cs="Times New Roman"/>
                <w:sz w:val="24"/>
                <w:szCs w:val="24"/>
              </w:rPr>
            </w:pPr>
            <w:r w:rsidRPr="00824BC0">
              <w:rPr>
                <w:rFonts w:ascii="Times New Roman" w:hAnsi="Times New Roman" w:cs="Times New Roman"/>
                <w:sz w:val="24"/>
                <w:szCs w:val="24"/>
              </w:rPr>
              <w:t>389,000.00</w:t>
            </w:r>
          </w:p>
        </w:tc>
      </w:tr>
      <w:tr w:rsidR="008A485B" w:rsidRPr="00824BC0" w14:paraId="12C6BA63" w14:textId="77777777" w:rsidTr="00A54FB3">
        <w:tc>
          <w:tcPr>
            <w:tcW w:w="4050" w:type="dxa"/>
            <w:gridSpan w:val="2"/>
          </w:tcPr>
          <w:p w14:paraId="1E2D72F0" w14:textId="77777777" w:rsidR="008A485B" w:rsidRPr="00824BC0" w:rsidRDefault="008A485B" w:rsidP="008A485B">
            <w:pPr>
              <w:jc w:val="center"/>
              <w:rPr>
                <w:rFonts w:ascii="Times New Roman" w:hAnsi="Times New Roman" w:cs="Times New Roman"/>
                <w:b/>
                <w:bCs/>
                <w:sz w:val="24"/>
                <w:szCs w:val="24"/>
              </w:rPr>
            </w:pPr>
            <w:r w:rsidRPr="00824BC0">
              <w:rPr>
                <w:rFonts w:ascii="Times New Roman" w:hAnsi="Times New Roman" w:cs="Times New Roman"/>
                <w:b/>
                <w:bCs/>
                <w:sz w:val="24"/>
                <w:szCs w:val="24"/>
              </w:rPr>
              <w:t>Total</w:t>
            </w:r>
          </w:p>
        </w:tc>
        <w:tc>
          <w:tcPr>
            <w:tcW w:w="2239" w:type="dxa"/>
          </w:tcPr>
          <w:p w14:paraId="509F1603" w14:textId="77777777" w:rsidR="008A485B" w:rsidRPr="00824BC0" w:rsidRDefault="008A485B" w:rsidP="008A485B">
            <w:pPr>
              <w:jc w:val="center"/>
              <w:rPr>
                <w:rFonts w:ascii="Times New Roman" w:hAnsi="Times New Roman" w:cs="Times New Roman"/>
                <w:b/>
                <w:bCs/>
                <w:sz w:val="24"/>
                <w:szCs w:val="24"/>
              </w:rPr>
            </w:pPr>
            <w:r w:rsidRPr="00824BC0">
              <w:rPr>
                <w:rFonts w:ascii="Times New Roman" w:hAnsi="Times New Roman" w:cs="Times New Roman"/>
                <w:b/>
                <w:bCs/>
                <w:sz w:val="24"/>
                <w:szCs w:val="24"/>
              </w:rPr>
              <w:t>491</w:t>
            </w:r>
          </w:p>
        </w:tc>
        <w:tc>
          <w:tcPr>
            <w:tcW w:w="2171" w:type="dxa"/>
          </w:tcPr>
          <w:p w14:paraId="021C4D1B" w14:textId="77777777" w:rsidR="008A485B" w:rsidRPr="00824BC0" w:rsidRDefault="008A485B" w:rsidP="008A485B">
            <w:pPr>
              <w:jc w:val="right"/>
              <w:rPr>
                <w:rFonts w:ascii="Times New Roman" w:hAnsi="Times New Roman" w:cs="Times New Roman"/>
                <w:b/>
                <w:bCs/>
                <w:sz w:val="24"/>
                <w:szCs w:val="24"/>
              </w:rPr>
            </w:pPr>
            <w:r w:rsidRPr="00824BC0">
              <w:rPr>
                <w:rFonts w:ascii="Times New Roman" w:hAnsi="Times New Roman" w:cs="Times New Roman"/>
                <w:b/>
                <w:bCs/>
                <w:sz w:val="24"/>
                <w:szCs w:val="24"/>
              </w:rPr>
              <w:t>₱ 2,504,000.00</w:t>
            </w:r>
          </w:p>
        </w:tc>
      </w:tr>
    </w:tbl>
    <w:p w14:paraId="6CE91692" w14:textId="77777777" w:rsidR="008A485B" w:rsidRPr="00824BC0" w:rsidRDefault="008A485B" w:rsidP="008A485B">
      <w:pPr>
        <w:spacing w:after="0" w:line="240" w:lineRule="auto"/>
        <w:jc w:val="both"/>
        <w:rPr>
          <w:rFonts w:ascii="Times New Roman" w:hAnsi="Times New Roman" w:cs="Times New Roman"/>
          <w:sz w:val="24"/>
          <w:szCs w:val="24"/>
        </w:rPr>
      </w:pPr>
    </w:p>
    <w:p w14:paraId="4513CF22" w14:textId="77777777" w:rsidR="008A485B" w:rsidRPr="00824BC0" w:rsidRDefault="008A485B" w:rsidP="00A54FB3">
      <w:pPr>
        <w:pStyle w:val="ListParagraph"/>
        <w:numPr>
          <w:ilvl w:val="1"/>
          <w:numId w:val="5"/>
        </w:numPr>
        <w:ind w:left="0" w:firstLine="0"/>
        <w:jc w:val="both"/>
        <w:rPr>
          <w:szCs w:val="24"/>
        </w:rPr>
      </w:pPr>
      <w:r w:rsidRPr="00824BC0">
        <w:rPr>
          <w:szCs w:val="24"/>
        </w:rPr>
        <w:t>As evidence of the loan, a Memorandum of Agreement (MOA) was entered into by BASC with each of the grantees. The MOA included the following provisions:</w:t>
      </w:r>
    </w:p>
    <w:p w14:paraId="23FE1B01" w14:textId="77777777" w:rsidR="008A485B" w:rsidRPr="00824BC0" w:rsidRDefault="008A485B" w:rsidP="008A485B">
      <w:pPr>
        <w:spacing w:after="0" w:line="240" w:lineRule="auto"/>
        <w:jc w:val="both"/>
        <w:rPr>
          <w:rFonts w:ascii="Times New Roman" w:hAnsi="Times New Roman" w:cs="Times New Roman"/>
          <w:sz w:val="24"/>
          <w:szCs w:val="24"/>
        </w:rPr>
      </w:pPr>
    </w:p>
    <w:p w14:paraId="665EAC0F" w14:textId="77777777" w:rsidR="008A485B" w:rsidRPr="00824BC0" w:rsidRDefault="008A485B" w:rsidP="00A54FB3">
      <w:pPr>
        <w:pStyle w:val="ListParagraph"/>
        <w:numPr>
          <w:ilvl w:val="0"/>
          <w:numId w:val="8"/>
        </w:numPr>
        <w:ind w:left="720"/>
        <w:jc w:val="both"/>
        <w:rPr>
          <w:szCs w:val="24"/>
        </w:rPr>
      </w:pPr>
      <w:r w:rsidRPr="00824BC0">
        <w:rPr>
          <w:szCs w:val="24"/>
        </w:rPr>
        <w:t xml:space="preserve">Repayment of the loan shall be made within five years starting two years after the student grantee has graduated from college; </w:t>
      </w:r>
    </w:p>
    <w:p w14:paraId="58FBAC37" w14:textId="77777777" w:rsidR="008A485B" w:rsidRPr="00824BC0" w:rsidRDefault="008A485B" w:rsidP="00A54FB3">
      <w:pPr>
        <w:pStyle w:val="ListParagraph"/>
        <w:jc w:val="both"/>
        <w:rPr>
          <w:szCs w:val="24"/>
        </w:rPr>
      </w:pPr>
    </w:p>
    <w:p w14:paraId="4A0AA1FB" w14:textId="77777777" w:rsidR="008A485B" w:rsidRPr="00824BC0" w:rsidRDefault="008A485B" w:rsidP="00A54FB3">
      <w:pPr>
        <w:pStyle w:val="ListParagraph"/>
        <w:numPr>
          <w:ilvl w:val="0"/>
          <w:numId w:val="8"/>
        </w:numPr>
        <w:ind w:left="720"/>
        <w:jc w:val="both"/>
        <w:rPr>
          <w:szCs w:val="24"/>
        </w:rPr>
      </w:pPr>
      <w:r w:rsidRPr="00824BC0">
        <w:rPr>
          <w:szCs w:val="24"/>
        </w:rPr>
        <w:t xml:space="preserve">Without need of notice or demand, any default due to causes stipulated in the implementing rules and regulations, or failure to pay this loan or any installment thereon when due, shall cause the obligation to become immediately due and payable; and </w:t>
      </w:r>
    </w:p>
    <w:p w14:paraId="14F4F885" w14:textId="77777777" w:rsidR="008A485B" w:rsidRPr="00824BC0" w:rsidRDefault="008A485B" w:rsidP="00A54FB3">
      <w:pPr>
        <w:pStyle w:val="ListParagraph"/>
        <w:jc w:val="both"/>
        <w:rPr>
          <w:szCs w:val="24"/>
        </w:rPr>
      </w:pPr>
    </w:p>
    <w:p w14:paraId="14EED418" w14:textId="77777777" w:rsidR="008A485B" w:rsidRPr="00824BC0" w:rsidRDefault="008A485B" w:rsidP="00A54FB3">
      <w:pPr>
        <w:pStyle w:val="ListParagraph"/>
        <w:numPr>
          <w:ilvl w:val="0"/>
          <w:numId w:val="8"/>
        </w:numPr>
        <w:ind w:left="720"/>
        <w:jc w:val="both"/>
        <w:rPr>
          <w:szCs w:val="24"/>
        </w:rPr>
      </w:pPr>
      <w:r w:rsidRPr="00824BC0">
        <w:rPr>
          <w:szCs w:val="24"/>
        </w:rPr>
        <w:t xml:space="preserve">In the event that the loan is not paid on the date of maturity or when the same becomes due, BASC is authorized, at its option to apply the repayment of the loan on any and all moneys, securities and things of value belonging to the student borrowers, authorized BASC to negotiate, sell and transfer the same by public or private sale, and apply the proceeds thereof to the payment of their loans. </w:t>
      </w:r>
    </w:p>
    <w:p w14:paraId="294B6507" w14:textId="77777777" w:rsidR="008A485B" w:rsidRPr="00824BC0" w:rsidRDefault="008A485B" w:rsidP="008A485B">
      <w:pPr>
        <w:spacing w:after="0" w:line="240" w:lineRule="auto"/>
        <w:jc w:val="both"/>
        <w:rPr>
          <w:rFonts w:ascii="Times New Roman" w:hAnsi="Times New Roman" w:cs="Times New Roman"/>
          <w:sz w:val="24"/>
          <w:szCs w:val="24"/>
        </w:rPr>
      </w:pPr>
      <w:r w:rsidRPr="00824BC0">
        <w:rPr>
          <w:rFonts w:ascii="Times New Roman" w:hAnsi="Times New Roman" w:cs="Times New Roman"/>
          <w:sz w:val="24"/>
          <w:szCs w:val="24"/>
        </w:rPr>
        <w:tab/>
      </w:r>
    </w:p>
    <w:p w14:paraId="4C6F7BE2" w14:textId="77777777" w:rsidR="008A485B" w:rsidRPr="00824BC0" w:rsidRDefault="008A485B" w:rsidP="00A54FB3">
      <w:pPr>
        <w:pStyle w:val="ListParagraph"/>
        <w:numPr>
          <w:ilvl w:val="1"/>
          <w:numId w:val="5"/>
        </w:numPr>
        <w:ind w:left="0" w:firstLine="0"/>
        <w:jc w:val="both"/>
        <w:rPr>
          <w:szCs w:val="24"/>
        </w:rPr>
      </w:pPr>
      <w:r w:rsidRPr="00824BC0">
        <w:rPr>
          <w:szCs w:val="24"/>
        </w:rPr>
        <w:t>Records show that student loan grantees were only able to return ₱481,000.00 or 19.21% of the total loaned amount of ₱2,504,000.00 under the SAFE Loan Program from calendar years 2008 to 2021, as summarized in the table below:</w:t>
      </w:r>
    </w:p>
    <w:p w14:paraId="6BF06BBC" w14:textId="77777777" w:rsidR="008A485B" w:rsidRPr="00824BC0" w:rsidRDefault="008A485B" w:rsidP="008A485B">
      <w:pPr>
        <w:spacing w:after="0" w:line="240" w:lineRule="auto"/>
        <w:jc w:val="both"/>
        <w:rPr>
          <w:rFonts w:ascii="Times New Roman" w:hAnsi="Times New Roman" w:cs="Times New Roman"/>
          <w:sz w:val="24"/>
          <w:szCs w:val="24"/>
        </w:rPr>
      </w:pPr>
    </w:p>
    <w:tbl>
      <w:tblPr>
        <w:tblStyle w:val="TableGrid"/>
        <w:tblW w:w="8640" w:type="dxa"/>
        <w:tblInd w:w="-5" w:type="dxa"/>
        <w:tblLook w:val="04A0" w:firstRow="1" w:lastRow="0" w:firstColumn="1" w:lastColumn="0" w:noHBand="0" w:noVBand="1"/>
      </w:tblPr>
      <w:tblGrid>
        <w:gridCol w:w="1890"/>
        <w:gridCol w:w="3240"/>
        <w:gridCol w:w="3510"/>
      </w:tblGrid>
      <w:tr w:rsidR="008A485B" w:rsidRPr="00824BC0" w14:paraId="6C660759" w14:textId="77777777" w:rsidTr="00A54FB3">
        <w:trPr>
          <w:trHeight w:val="255"/>
          <w:tblHeader/>
        </w:trPr>
        <w:tc>
          <w:tcPr>
            <w:tcW w:w="1890" w:type="dxa"/>
            <w:noWrap/>
            <w:hideMark/>
          </w:tcPr>
          <w:p w14:paraId="0161F4F3" w14:textId="77777777" w:rsidR="008A485B" w:rsidRPr="00824BC0" w:rsidRDefault="008A485B" w:rsidP="008A485B">
            <w:pPr>
              <w:jc w:val="center"/>
              <w:rPr>
                <w:rFonts w:ascii="Times New Roman" w:hAnsi="Times New Roman" w:cs="Times New Roman"/>
                <w:b/>
                <w:bCs/>
                <w:sz w:val="24"/>
                <w:szCs w:val="24"/>
                <w:lang w:eastAsia="en-PH"/>
              </w:rPr>
            </w:pPr>
            <w:r w:rsidRPr="00824BC0">
              <w:rPr>
                <w:rFonts w:ascii="Times New Roman" w:hAnsi="Times New Roman" w:cs="Times New Roman"/>
                <w:b/>
                <w:bCs/>
                <w:sz w:val="24"/>
                <w:szCs w:val="24"/>
                <w:lang w:eastAsia="en-PH"/>
              </w:rPr>
              <w:t>Year</w:t>
            </w:r>
          </w:p>
        </w:tc>
        <w:tc>
          <w:tcPr>
            <w:tcW w:w="3240" w:type="dxa"/>
            <w:noWrap/>
            <w:hideMark/>
          </w:tcPr>
          <w:p w14:paraId="25FEC640" w14:textId="77777777" w:rsidR="008A485B" w:rsidRPr="00824BC0" w:rsidRDefault="008A485B" w:rsidP="008A485B">
            <w:pPr>
              <w:jc w:val="center"/>
              <w:rPr>
                <w:rFonts w:ascii="Times New Roman" w:hAnsi="Times New Roman" w:cs="Times New Roman"/>
                <w:b/>
                <w:bCs/>
                <w:sz w:val="24"/>
                <w:szCs w:val="24"/>
                <w:lang w:eastAsia="en-PH"/>
              </w:rPr>
            </w:pPr>
            <w:r w:rsidRPr="00824BC0">
              <w:rPr>
                <w:rFonts w:ascii="Times New Roman" w:hAnsi="Times New Roman" w:cs="Times New Roman"/>
                <w:b/>
                <w:bCs/>
                <w:sz w:val="24"/>
                <w:szCs w:val="24"/>
                <w:lang w:eastAsia="en-PH"/>
              </w:rPr>
              <w:t>Total Amount Paid</w:t>
            </w:r>
          </w:p>
        </w:tc>
        <w:tc>
          <w:tcPr>
            <w:tcW w:w="3510" w:type="dxa"/>
            <w:noWrap/>
            <w:hideMark/>
          </w:tcPr>
          <w:p w14:paraId="3A085307" w14:textId="77777777" w:rsidR="008A485B" w:rsidRPr="00824BC0" w:rsidRDefault="008A485B" w:rsidP="008A485B">
            <w:pPr>
              <w:jc w:val="center"/>
              <w:rPr>
                <w:rFonts w:ascii="Times New Roman" w:hAnsi="Times New Roman" w:cs="Times New Roman"/>
                <w:b/>
                <w:bCs/>
                <w:sz w:val="24"/>
                <w:szCs w:val="24"/>
                <w:lang w:eastAsia="en-PH"/>
              </w:rPr>
            </w:pPr>
            <w:r w:rsidRPr="00824BC0">
              <w:rPr>
                <w:rFonts w:ascii="Times New Roman" w:hAnsi="Times New Roman" w:cs="Times New Roman"/>
                <w:b/>
                <w:bCs/>
                <w:sz w:val="24"/>
                <w:szCs w:val="24"/>
                <w:lang w:eastAsia="en-PH"/>
              </w:rPr>
              <w:t>Loan Balance</w:t>
            </w:r>
          </w:p>
        </w:tc>
      </w:tr>
      <w:tr w:rsidR="008A485B" w:rsidRPr="00824BC0" w14:paraId="3C0A0B23" w14:textId="77777777" w:rsidTr="00A54FB3">
        <w:trPr>
          <w:trHeight w:val="255"/>
        </w:trPr>
        <w:tc>
          <w:tcPr>
            <w:tcW w:w="5130" w:type="dxa"/>
            <w:gridSpan w:val="2"/>
            <w:noWrap/>
            <w:hideMark/>
          </w:tcPr>
          <w:p w14:paraId="2134D4B9" w14:textId="77777777" w:rsidR="008A485B" w:rsidRPr="00824BC0" w:rsidRDefault="008A485B" w:rsidP="008A485B">
            <w:pPr>
              <w:rPr>
                <w:rFonts w:ascii="Times New Roman" w:hAnsi="Times New Roman" w:cs="Times New Roman"/>
                <w:sz w:val="24"/>
                <w:szCs w:val="24"/>
                <w:lang w:eastAsia="en-PH"/>
              </w:rPr>
            </w:pPr>
            <w:r w:rsidRPr="00824BC0">
              <w:rPr>
                <w:rFonts w:ascii="Times New Roman" w:hAnsi="Times New Roman" w:cs="Times New Roman"/>
                <w:b/>
                <w:bCs/>
                <w:sz w:val="24"/>
                <w:szCs w:val="24"/>
                <w:lang w:eastAsia="en-PH"/>
              </w:rPr>
              <w:t>Loaned Amount</w:t>
            </w:r>
          </w:p>
        </w:tc>
        <w:tc>
          <w:tcPr>
            <w:tcW w:w="3510" w:type="dxa"/>
            <w:noWrap/>
            <w:hideMark/>
          </w:tcPr>
          <w:p w14:paraId="02D18C8F" w14:textId="77777777" w:rsidR="008A485B" w:rsidRPr="00824BC0" w:rsidRDefault="008A485B" w:rsidP="008A485B">
            <w:pPr>
              <w:jc w:val="right"/>
              <w:rPr>
                <w:rFonts w:ascii="Times New Roman" w:hAnsi="Times New Roman" w:cs="Times New Roman"/>
                <w:b/>
                <w:bCs/>
                <w:sz w:val="24"/>
                <w:szCs w:val="24"/>
                <w:lang w:eastAsia="en-PH"/>
              </w:rPr>
            </w:pPr>
            <w:r w:rsidRPr="00824BC0">
              <w:rPr>
                <w:rFonts w:ascii="Times New Roman" w:hAnsi="Times New Roman" w:cs="Times New Roman"/>
                <w:b/>
                <w:bCs/>
                <w:sz w:val="24"/>
                <w:szCs w:val="24"/>
              </w:rPr>
              <w:t>₱</w:t>
            </w:r>
            <w:r w:rsidRPr="00824BC0">
              <w:rPr>
                <w:rFonts w:ascii="Times New Roman" w:hAnsi="Times New Roman" w:cs="Times New Roman"/>
                <w:b/>
                <w:bCs/>
                <w:sz w:val="24"/>
                <w:szCs w:val="24"/>
                <w:lang w:eastAsia="en-PH"/>
              </w:rPr>
              <w:t xml:space="preserve"> 2,504,000.00 </w:t>
            </w:r>
          </w:p>
        </w:tc>
      </w:tr>
      <w:tr w:rsidR="008A485B" w:rsidRPr="00824BC0" w14:paraId="40FE00A5" w14:textId="77777777" w:rsidTr="00A54FB3">
        <w:trPr>
          <w:trHeight w:val="255"/>
        </w:trPr>
        <w:tc>
          <w:tcPr>
            <w:tcW w:w="1890" w:type="dxa"/>
            <w:noWrap/>
            <w:hideMark/>
          </w:tcPr>
          <w:p w14:paraId="685A189A" w14:textId="77777777" w:rsidR="008A485B" w:rsidRPr="00824BC0" w:rsidRDefault="008A485B" w:rsidP="008A485B">
            <w:pPr>
              <w:jc w:val="center"/>
              <w:rPr>
                <w:rFonts w:ascii="Times New Roman" w:hAnsi="Times New Roman" w:cs="Times New Roman"/>
                <w:sz w:val="24"/>
                <w:szCs w:val="24"/>
                <w:lang w:eastAsia="en-PH"/>
              </w:rPr>
            </w:pPr>
            <w:r w:rsidRPr="00824BC0">
              <w:rPr>
                <w:rFonts w:ascii="Times New Roman" w:hAnsi="Times New Roman" w:cs="Times New Roman"/>
                <w:sz w:val="24"/>
                <w:szCs w:val="24"/>
                <w:lang w:eastAsia="en-PH"/>
              </w:rPr>
              <w:t>2008</w:t>
            </w:r>
          </w:p>
        </w:tc>
        <w:tc>
          <w:tcPr>
            <w:tcW w:w="3240" w:type="dxa"/>
            <w:noWrap/>
            <w:hideMark/>
          </w:tcPr>
          <w:p w14:paraId="636EC973" w14:textId="77777777" w:rsidR="008A485B" w:rsidRPr="00824BC0" w:rsidRDefault="008A485B" w:rsidP="008A485B">
            <w:pPr>
              <w:jc w:val="right"/>
              <w:rPr>
                <w:rFonts w:ascii="Times New Roman" w:hAnsi="Times New Roman" w:cs="Times New Roman"/>
                <w:sz w:val="24"/>
                <w:szCs w:val="24"/>
                <w:lang w:eastAsia="en-PH"/>
              </w:rPr>
            </w:pPr>
            <w:r w:rsidRPr="00824BC0">
              <w:rPr>
                <w:rFonts w:ascii="Times New Roman" w:hAnsi="Times New Roman" w:cs="Times New Roman"/>
                <w:sz w:val="24"/>
                <w:szCs w:val="24"/>
              </w:rPr>
              <w:t>₱</w:t>
            </w:r>
            <w:r w:rsidRPr="00824BC0">
              <w:rPr>
                <w:rFonts w:ascii="Times New Roman" w:hAnsi="Times New Roman" w:cs="Times New Roman"/>
                <w:b/>
                <w:bCs/>
                <w:sz w:val="24"/>
                <w:szCs w:val="24"/>
                <w:lang w:eastAsia="en-PH"/>
              </w:rPr>
              <w:t xml:space="preserve">     </w:t>
            </w:r>
            <w:r w:rsidRPr="00824BC0">
              <w:rPr>
                <w:rFonts w:ascii="Times New Roman" w:hAnsi="Times New Roman" w:cs="Times New Roman"/>
                <w:sz w:val="24"/>
                <w:szCs w:val="24"/>
                <w:lang w:eastAsia="en-PH"/>
              </w:rPr>
              <w:t>5,000.00</w:t>
            </w:r>
          </w:p>
        </w:tc>
        <w:tc>
          <w:tcPr>
            <w:tcW w:w="3510" w:type="dxa"/>
            <w:noWrap/>
            <w:hideMark/>
          </w:tcPr>
          <w:p w14:paraId="2C332422" w14:textId="77777777" w:rsidR="008A485B" w:rsidRPr="00824BC0" w:rsidRDefault="008A485B" w:rsidP="008A485B">
            <w:pPr>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2,499,000.00</w:t>
            </w:r>
          </w:p>
        </w:tc>
      </w:tr>
      <w:tr w:rsidR="008A485B" w:rsidRPr="00824BC0" w14:paraId="7059B244" w14:textId="77777777" w:rsidTr="00A54FB3">
        <w:trPr>
          <w:trHeight w:val="255"/>
        </w:trPr>
        <w:tc>
          <w:tcPr>
            <w:tcW w:w="1890" w:type="dxa"/>
            <w:noWrap/>
            <w:hideMark/>
          </w:tcPr>
          <w:p w14:paraId="6B6BA10A" w14:textId="77777777" w:rsidR="008A485B" w:rsidRPr="00824BC0" w:rsidRDefault="008A485B" w:rsidP="008A485B">
            <w:pPr>
              <w:jc w:val="center"/>
              <w:rPr>
                <w:rFonts w:ascii="Times New Roman" w:hAnsi="Times New Roman" w:cs="Times New Roman"/>
                <w:sz w:val="24"/>
                <w:szCs w:val="24"/>
                <w:lang w:eastAsia="en-PH"/>
              </w:rPr>
            </w:pPr>
            <w:r w:rsidRPr="00824BC0">
              <w:rPr>
                <w:rFonts w:ascii="Times New Roman" w:hAnsi="Times New Roman" w:cs="Times New Roman"/>
                <w:sz w:val="24"/>
                <w:szCs w:val="24"/>
                <w:lang w:eastAsia="en-PH"/>
              </w:rPr>
              <w:t>2012</w:t>
            </w:r>
          </w:p>
        </w:tc>
        <w:tc>
          <w:tcPr>
            <w:tcW w:w="3240" w:type="dxa"/>
            <w:noWrap/>
            <w:hideMark/>
          </w:tcPr>
          <w:p w14:paraId="1B0DFA71" w14:textId="77777777" w:rsidR="008A485B" w:rsidRPr="00824BC0" w:rsidRDefault="008A485B" w:rsidP="008A485B">
            <w:pPr>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48,850.00</w:t>
            </w:r>
          </w:p>
        </w:tc>
        <w:tc>
          <w:tcPr>
            <w:tcW w:w="3510" w:type="dxa"/>
            <w:noWrap/>
            <w:hideMark/>
          </w:tcPr>
          <w:p w14:paraId="024D73A2" w14:textId="77777777" w:rsidR="008A485B" w:rsidRPr="00824BC0" w:rsidRDefault="008A485B" w:rsidP="008A485B">
            <w:pPr>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2,450,150.00</w:t>
            </w:r>
          </w:p>
        </w:tc>
      </w:tr>
      <w:tr w:rsidR="008A485B" w:rsidRPr="00824BC0" w14:paraId="350BD38B" w14:textId="77777777" w:rsidTr="00A54FB3">
        <w:trPr>
          <w:trHeight w:val="255"/>
        </w:trPr>
        <w:tc>
          <w:tcPr>
            <w:tcW w:w="1890" w:type="dxa"/>
            <w:noWrap/>
            <w:hideMark/>
          </w:tcPr>
          <w:p w14:paraId="3C18BF2F" w14:textId="77777777" w:rsidR="008A485B" w:rsidRPr="00824BC0" w:rsidRDefault="008A485B" w:rsidP="008A485B">
            <w:pPr>
              <w:jc w:val="center"/>
              <w:rPr>
                <w:rFonts w:ascii="Times New Roman" w:hAnsi="Times New Roman" w:cs="Times New Roman"/>
                <w:sz w:val="24"/>
                <w:szCs w:val="24"/>
                <w:lang w:eastAsia="en-PH"/>
              </w:rPr>
            </w:pPr>
            <w:r w:rsidRPr="00824BC0">
              <w:rPr>
                <w:rFonts w:ascii="Times New Roman" w:hAnsi="Times New Roman" w:cs="Times New Roman"/>
                <w:sz w:val="24"/>
                <w:szCs w:val="24"/>
                <w:lang w:eastAsia="en-PH"/>
              </w:rPr>
              <w:t>2013</w:t>
            </w:r>
          </w:p>
        </w:tc>
        <w:tc>
          <w:tcPr>
            <w:tcW w:w="3240" w:type="dxa"/>
            <w:noWrap/>
            <w:hideMark/>
          </w:tcPr>
          <w:p w14:paraId="1C6B4ECF" w14:textId="77777777" w:rsidR="008A485B" w:rsidRPr="00824BC0" w:rsidRDefault="008A485B" w:rsidP="008A485B">
            <w:pPr>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65,550.00</w:t>
            </w:r>
          </w:p>
        </w:tc>
        <w:tc>
          <w:tcPr>
            <w:tcW w:w="3510" w:type="dxa"/>
            <w:noWrap/>
            <w:hideMark/>
          </w:tcPr>
          <w:p w14:paraId="5BBB21C8" w14:textId="77777777" w:rsidR="008A485B" w:rsidRPr="00824BC0" w:rsidRDefault="008A485B" w:rsidP="008A485B">
            <w:pPr>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2,384,600.00</w:t>
            </w:r>
          </w:p>
        </w:tc>
      </w:tr>
      <w:tr w:rsidR="008A485B" w:rsidRPr="00824BC0" w14:paraId="2CC23C4F" w14:textId="77777777" w:rsidTr="00A54FB3">
        <w:trPr>
          <w:trHeight w:val="255"/>
        </w:trPr>
        <w:tc>
          <w:tcPr>
            <w:tcW w:w="1890" w:type="dxa"/>
            <w:noWrap/>
            <w:hideMark/>
          </w:tcPr>
          <w:p w14:paraId="21BF45D4" w14:textId="77777777" w:rsidR="008A485B" w:rsidRPr="00824BC0" w:rsidRDefault="008A485B" w:rsidP="008A485B">
            <w:pPr>
              <w:jc w:val="center"/>
              <w:rPr>
                <w:rFonts w:ascii="Times New Roman" w:hAnsi="Times New Roman" w:cs="Times New Roman"/>
                <w:sz w:val="24"/>
                <w:szCs w:val="24"/>
                <w:lang w:eastAsia="en-PH"/>
              </w:rPr>
            </w:pPr>
            <w:r w:rsidRPr="00824BC0">
              <w:rPr>
                <w:rFonts w:ascii="Times New Roman" w:hAnsi="Times New Roman" w:cs="Times New Roman"/>
                <w:sz w:val="24"/>
                <w:szCs w:val="24"/>
                <w:lang w:eastAsia="en-PH"/>
              </w:rPr>
              <w:t>2014</w:t>
            </w:r>
          </w:p>
        </w:tc>
        <w:tc>
          <w:tcPr>
            <w:tcW w:w="3240" w:type="dxa"/>
            <w:noWrap/>
            <w:hideMark/>
          </w:tcPr>
          <w:p w14:paraId="41E690AF" w14:textId="77777777" w:rsidR="008A485B" w:rsidRPr="00824BC0" w:rsidRDefault="008A485B" w:rsidP="008A485B">
            <w:pPr>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34,600.00</w:t>
            </w:r>
          </w:p>
        </w:tc>
        <w:tc>
          <w:tcPr>
            <w:tcW w:w="3510" w:type="dxa"/>
            <w:noWrap/>
            <w:hideMark/>
          </w:tcPr>
          <w:p w14:paraId="45496C08" w14:textId="77777777" w:rsidR="008A485B" w:rsidRPr="00824BC0" w:rsidRDefault="008A485B" w:rsidP="008A485B">
            <w:pPr>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2,350,000.00</w:t>
            </w:r>
          </w:p>
        </w:tc>
      </w:tr>
      <w:tr w:rsidR="008A485B" w:rsidRPr="00824BC0" w14:paraId="694AE460" w14:textId="77777777" w:rsidTr="00A54FB3">
        <w:trPr>
          <w:trHeight w:val="255"/>
        </w:trPr>
        <w:tc>
          <w:tcPr>
            <w:tcW w:w="1890" w:type="dxa"/>
            <w:noWrap/>
            <w:hideMark/>
          </w:tcPr>
          <w:p w14:paraId="32906E87" w14:textId="77777777" w:rsidR="008A485B" w:rsidRPr="00824BC0" w:rsidRDefault="008A485B" w:rsidP="008A485B">
            <w:pPr>
              <w:jc w:val="center"/>
              <w:rPr>
                <w:rFonts w:ascii="Times New Roman" w:hAnsi="Times New Roman" w:cs="Times New Roman"/>
                <w:sz w:val="24"/>
                <w:szCs w:val="24"/>
                <w:lang w:eastAsia="en-PH"/>
              </w:rPr>
            </w:pPr>
            <w:r w:rsidRPr="00824BC0">
              <w:rPr>
                <w:rFonts w:ascii="Times New Roman" w:hAnsi="Times New Roman" w:cs="Times New Roman"/>
                <w:sz w:val="24"/>
                <w:szCs w:val="24"/>
                <w:lang w:eastAsia="en-PH"/>
              </w:rPr>
              <w:t>2015</w:t>
            </w:r>
          </w:p>
        </w:tc>
        <w:tc>
          <w:tcPr>
            <w:tcW w:w="3240" w:type="dxa"/>
            <w:noWrap/>
            <w:hideMark/>
          </w:tcPr>
          <w:p w14:paraId="69ED03FD" w14:textId="77777777" w:rsidR="008A485B" w:rsidRPr="00824BC0" w:rsidRDefault="008A485B" w:rsidP="008A485B">
            <w:pPr>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4,800.00</w:t>
            </w:r>
          </w:p>
        </w:tc>
        <w:tc>
          <w:tcPr>
            <w:tcW w:w="3510" w:type="dxa"/>
            <w:noWrap/>
            <w:hideMark/>
          </w:tcPr>
          <w:p w14:paraId="44BEDDAC" w14:textId="77777777" w:rsidR="008A485B" w:rsidRPr="00824BC0" w:rsidRDefault="008A485B" w:rsidP="008A485B">
            <w:pPr>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2,345,200.00</w:t>
            </w:r>
          </w:p>
        </w:tc>
      </w:tr>
      <w:tr w:rsidR="008A485B" w:rsidRPr="00824BC0" w14:paraId="20C889FB" w14:textId="77777777" w:rsidTr="00A54FB3">
        <w:trPr>
          <w:trHeight w:val="255"/>
        </w:trPr>
        <w:tc>
          <w:tcPr>
            <w:tcW w:w="1890" w:type="dxa"/>
            <w:noWrap/>
            <w:hideMark/>
          </w:tcPr>
          <w:p w14:paraId="79282F5B" w14:textId="77777777" w:rsidR="008A485B" w:rsidRPr="00824BC0" w:rsidRDefault="008A485B" w:rsidP="008A485B">
            <w:pPr>
              <w:jc w:val="center"/>
              <w:rPr>
                <w:rFonts w:ascii="Times New Roman" w:hAnsi="Times New Roman" w:cs="Times New Roman"/>
                <w:sz w:val="24"/>
                <w:szCs w:val="24"/>
                <w:lang w:eastAsia="en-PH"/>
              </w:rPr>
            </w:pPr>
            <w:r w:rsidRPr="00824BC0">
              <w:rPr>
                <w:rFonts w:ascii="Times New Roman" w:hAnsi="Times New Roman" w:cs="Times New Roman"/>
                <w:sz w:val="24"/>
                <w:szCs w:val="24"/>
                <w:lang w:eastAsia="en-PH"/>
              </w:rPr>
              <w:lastRenderedPageBreak/>
              <w:t>2016</w:t>
            </w:r>
          </w:p>
        </w:tc>
        <w:tc>
          <w:tcPr>
            <w:tcW w:w="3240" w:type="dxa"/>
            <w:noWrap/>
            <w:hideMark/>
          </w:tcPr>
          <w:p w14:paraId="15ADB943" w14:textId="77777777" w:rsidR="008A485B" w:rsidRPr="00824BC0" w:rsidRDefault="008A485B" w:rsidP="008A485B">
            <w:pPr>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45,100.00</w:t>
            </w:r>
          </w:p>
        </w:tc>
        <w:tc>
          <w:tcPr>
            <w:tcW w:w="3510" w:type="dxa"/>
            <w:noWrap/>
            <w:hideMark/>
          </w:tcPr>
          <w:p w14:paraId="44A8F4EA" w14:textId="77777777" w:rsidR="008A485B" w:rsidRPr="00824BC0" w:rsidRDefault="008A485B" w:rsidP="008A485B">
            <w:pPr>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2,300,100.00</w:t>
            </w:r>
          </w:p>
        </w:tc>
      </w:tr>
      <w:tr w:rsidR="008A485B" w:rsidRPr="00824BC0" w14:paraId="06538DF4" w14:textId="77777777" w:rsidTr="00A54FB3">
        <w:trPr>
          <w:trHeight w:val="255"/>
        </w:trPr>
        <w:tc>
          <w:tcPr>
            <w:tcW w:w="1890" w:type="dxa"/>
            <w:noWrap/>
            <w:hideMark/>
          </w:tcPr>
          <w:p w14:paraId="486214E9" w14:textId="77777777" w:rsidR="008A485B" w:rsidRPr="00824BC0" w:rsidRDefault="008A485B" w:rsidP="008A485B">
            <w:pPr>
              <w:jc w:val="center"/>
              <w:rPr>
                <w:rFonts w:ascii="Times New Roman" w:hAnsi="Times New Roman" w:cs="Times New Roman"/>
                <w:sz w:val="24"/>
                <w:szCs w:val="24"/>
                <w:lang w:eastAsia="en-PH"/>
              </w:rPr>
            </w:pPr>
            <w:r w:rsidRPr="00824BC0">
              <w:rPr>
                <w:rFonts w:ascii="Times New Roman" w:hAnsi="Times New Roman" w:cs="Times New Roman"/>
                <w:sz w:val="24"/>
                <w:szCs w:val="24"/>
                <w:lang w:eastAsia="en-PH"/>
              </w:rPr>
              <w:t>2017</w:t>
            </w:r>
          </w:p>
        </w:tc>
        <w:tc>
          <w:tcPr>
            <w:tcW w:w="3240" w:type="dxa"/>
            <w:noWrap/>
            <w:hideMark/>
          </w:tcPr>
          <w:p w14:paraId="75C9075B" w14:textId="77777777" w:rsidR="008A485B" w:rsidRPr="00824BC0" w:rsidRDefault="008A485B" w:rsidP="008A485B">
            <w:pPr>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143,100.00</w:t>
            </w:r>
          </w:p>
        </w:tc>
        <w:tc>
          <w:tcPr>
            <w:tcW w:w="3510" w:type="dxa"/>
            <w:noWrap/>
            <w:hideMark/>
          </w:tcPr>
          <w:p w14:paraId="3C2C30A9" w14:textId="77777777" w:rsidR="008A485B" w:rsidRPr="00824BC0" w:rsidRDefault="008A485B" w:rsidP="008A485B">
            <w:pPr>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2,157,000.00</w:t>
            </w:r>
          </w:p>
        </w:tc>
      </w:tr>
      <w:tr w:rsidR="008A485B" w:rsidRPr="00824BC0" w14:paraId="0C2F3169" w14:textId="77777777" w:rsidTr="00A54FB3">
        <w:trPr>
          <w:trHeight w:val="255"/>
        </w:trPr>
        <w:tc>
          <w:tcPr>
            <w:tcW w:w="1890" w:type="dxa"/>
            <w:noWrap/>
            <w:hideMark/>
          </w:tcPr>
          <w:p w14:paraId="4E7972DA" w14:textId="77777777" w:rsidR="008A485B" w:rsidRPr="00824BC0" w:rsidRDefault="008A485B" w:rsidP="008A485B">
            <w:pPr>
              <w:jc w:val="center"/>
              <w:rPr>
                <w:rFonts w:ascii="Times New Roman" w:hAnsi="Times New Roman" w:cs="Times New Roman"/>
                <w:sz w:val="24"/>
                <w:szCs w:val="24"/>
                <w:lang w:eastAsia="en-PH"/>
              </w:rPr>
            </w:pPr>
            <w:r w:rsidRPr="00824BC0">
              <w:rPr>
                <w:rFonts w:ascii="Times New Roman" w:hAnsi="Times New Roman" w:cs="Times New Roman"/>
                <w:sz w:val="24"/>
                <w:szCs w:val="24"/>
                <w:lang w:eastAsia="en-PH"/>
              </w:rPr>
              <w:t>2018</w:t>
            </w:r>
          </w:p>
        </w:tc>
        <w:tc>
          <w:tcPr>
            <w:tcW w:w="3240" w:type="dxa"/>
            <w:noWrap/>
            <w:hideMark/>
          </w:tcPr>
          <w:p w14:paraId="2437EB4A" w14:textId="77777777" w:rsidR="008A485B" w:rsidRPr="00824BC0" w:rsidRDefault="008A485B" w:rsidP="008A485B">
            <w:pPr>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60,500.00</w:t>
            </w:r>
          </w:p>
        </w:tc>
        <w:tc>
          <w:tcPr>
            <w:tcW w:w="3510" w:type="dxa"/>
            <w:noWrap/>
            <w:hideMark/>
          </w:tcPr>
          <w:p w14:paraId="104A4469" w14:textId="77777777" w:rsidR="008A485B" w:rsidRPr="00824BC0" w:rsidRDefault="008A485B" w:rsidP="008A485B">
            <w:pPr>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2,096,500.00</w:t>
            </w:r>
          </w:p>
        </w:tc>
      </w:tr>
      <w:tr w:rsidR="008A485B" w:rsidRPr="00824BC0" w14:paraId="79202866" w14:textId="77777777" w:rsidTr="00A54FB3">
        <w:trPr>
          <w:trHeight w:val="255"/>
        </w:trPr>
        <w:tc>
          <w:tcPr>
            <w:tcW w:w="1890" w:type="dxa"/>
            <w:noWrap/>
            <w:hideMark/>
          </w:tcPr>
          <w:p w14:paraId="098744A4" w14:textId="77777777" w:rsidR="008A485B" w:rsidRPr="00824BC0" w:rsidRDefault="008A485B" w:rsidP="008A485B">
            <w:pPr>
              <w:jc w:val="center"/>
              <w:rPr>
                <w:rFonts w:ascii="Times New Roman" w:hAnsi="Times New Roman" w:cs="Times New Roman"/>
                <w:sz w:val="24"/>
                <w:szCs w:val="24"/>
                <w:lang w:eastAsia="en-PH"/>
              </w:rPr>
            </w:pPr>
            <w:r w:rsidRPr="00824BC0">
              <w:rPr>
                <w:rFonts w:ascii="Times New Roman" w:hAnsi="Times New Roman" w:cs="Times New Roman"/>
                <w:sz w:val="24"/>
                <w:szCs w:val="24"/>
                <w:lang w:eastAsia="en-PH"/>
              </w:rPr>
              <w:t>2019</w:t>
            </w:r>
          </w:p>
        </w:tc>
        <w:tc>
          <w:tcPr>
            <w:tcW w:w="3240" w:type="dxa"/>
            <w:noWrap/>
            <w:hideMark/>
          </w:tcPr>
          <w:p w14:paraId="25610399" w14:textId="77777777" w:rsidR="008A485B" w:rsidRPr="00824BC0" w:rsidRDefault="008A485B" w:rsidP="008A485B">
            <w:pPr>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44,500.00</w:t>
            </w:r>
          </w:p>
        </w:tc>
        <w:tc>
          <w:tcPr>
            <w:tcW w:w="3510" w:type="dxa"/>
            <w:noWrap/>
            <w:hideMark/>
          </w:tcPr>
          <w:p w14:paraId="15D3CB04" w14:textId="77777777" w:rsidR="008A485B" w:rsidRPr="00824BC0" w:rsidRDefault="008A485B" w:rsidP="008A485B">
            <w:pPr>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2,052,000.00</w:t>
            </w:r>
          </w:p>
        </w:tc>
      </w:tr>
      <w:tr w:rsidR="008A485B" w:rsidRPr="00824BC0" w14:paraId="60575200" w14:textId="77777777" w:rsidTr="00A54FB3">
        <w:trPr>
          <w:trHeight w:val="255"/>
        </w:trPr>
        <w:tc>
          <w:tcPr>
            <w:tcW w:w="1890" w:type="dxa"/>
            <w:noWrap/>
            <w:hideMark/>
          </w:tcPr>
          <w:p w14:paraId="61BAC9FD" w14:textId="77777777" w:rsidR="008A485B" w:rsidRPr="00824BC0" w:rsidRDefault="008A485B" w:rsidP="008A485B">
            <w:pPr>
              <w:jc w:val="center"/>
              <w:rPr>
                <w:rFonts w:ascii="Times New Roman" w:hAnsi="Times New Roman" w:cs="Times New Roman"/>
                <w:sz w:val="24"/>
                <w:szCs w:val="24"/>
                <w:lang w:eastAsia="en-PH"/>
              </w:rPr>
            </w:pPr>
            <w:r w:rsidRPr="00824BC0">
              <w:rPr>
                <w:rFonts w:ascii="Times New Roman" w:hAnsi="Times New Roman" w:cs="Times New Roman"/>
                <w:sz w:val="24"/>
                <w:szCs w:val="24"/>
                <w:lang w:eastAsia="en-PH"/>
              </w:rPr>
              <w:t>2020</w:t>
            </w:r>
          </w:p>
        </w:tc>
        <w:tc>
          <w:tcPr>
            <w:tcW w:w="3240" w:type="dxa"/>
            <w:noWrap/>
            <w:hideMark/>
          </w:tcPr>
          <w:p w14:paraId="55E3CF58" w14:textId="77777777" w:rsidR="008A485B" w:rsidRPr="00824BC0" w:rsidRDefault="008A485B" w:rsidP="008A485B">
            <w:pPr>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9,000.00</w:t>
            </w:r>
          </w:p>
        </w:tc>
        <w:tc>
          <w:tcPr>
            <w:tcW w:w="3510" w:type="dxa"/>
            <w:noWrap/>
            <w:hideMark/>
          </w:tcPr>
          <w:p w14:paraId="1F96340B" w14:textId="77777777" w:rsidR="008A485B" w:rsidRPr="00824BC0" w:rsidRDefault="008A485B" w:rsidP="008A485B">
            <w:pPr>
              <w:jc w:val="right"/>
              <w:rPr>
                <w:rFonts w:ascii="Times New Roman" w:hAnsi="Times New Roman" w:cs="Times New Roman"/>
                <w:sz w:val="24"/>
                <w:szCs w:val="24"/>
                <w:lang w:eastAsia="en-PH"/>
              </w:rPr>
            </w:pPr>
            <w:r w:rsidRPr="00824BC0">
              <w:rPr>
                <w:rFonts w:ascii="Times New Roman" w:hAnsi="Times New Roman" w:cs="Times New Roman"/>
                <w:sz w:val="24"/>
                <w:szCs w:val="24"/>
                <w:lang w:eastAsia="en-PH"/>
              </w:rPr>
              <w:t>2,043,000.00</w:t>
            </w:r>
          </w:p>
        </w:tc>
      </w:tr>
      <w:tr w:rsidR="008A485B" w:rsidRPr="00824BC0" w14:paraId="3D0FB097" w14:textId="77777777" w:rsidTr="00A54FB3">
        <w:trPr>
          <w:trHeight w:val="255"/>
        </w:trPr>
        <w:tc>
          <w:tcPr>
            <w:tcW w:w="1890" w:type="dxa"/>
            <w:noWrap/>
            <w:hideMark/>
          </w:tcPr>
          <w:p w14:paraId="10F1B932" w14:textId="77777777" w:rsidR="008A485B" w:rsidRPr="00824BC0" w:rsidRDefault="008A485B" w:rsidP="008A485B">
            <w:pPr>
              <w:jc w:val="center"/>
              <w:rPr>
                <w:rFonts w:ascii="Times New Roman" w:hAnsi="Times New Roman" w:cs="Times New Roman"/>
                <w:sz w:val="24"/>
                <w:szCs w:val="24"/>
                <w:lang w:eastAsia="en-PH"/>
              </w:rPr>
            </w:pPr>
            <w:r w:rsidRPr="00824BC0">
              <w:rPr>
                <w:rFonts w:ascii="Times New Roman" w:hAnsi="Times New Roman" w:cs="Times New Roman"/>
                <w:sz w:val="24"/>
                <w:szCs w:val="24"/>
                <w:lang w:eastAsia="en-PH"/>
              </w:rPr>
              <w:t>2021</w:t>
            </w:r>
          </w:p>
        </w:tc>
        <w:tc>
          <w:tcPr>
            <w:tcW w:w="3240" w:type="dxa"/>
            <w:noWrap/>
            <w:hideMark/>
          </w:tcPr>
          <w:p w14:paraId="245A7BEC" w14:textId="77777777" w:rsidR="008A485B" w:rsidRPr="00824BC0" w:rsidRDefault="008A485B" w:rsidP="008A485B">
            <w:pPr>
              <w:jc w:val="right"/>
              <w:rPr>
                <w:rFonts w:ascii="Times New Roman" w:hAnsi="Times New Roman" w:cs="Times New Roman"/>
                <w:sz w:val="24"/>
                <w:szCs w:val="24"/>
                <w:lang w:eastAsia="en-PH"/>
              </w:rPr>
            </w:pPr>
            <w:r w:rsidRPr="00824BC0">
              <w:rPr>
                <w:rFonts w:ascii="Times New Roman" w:hAnsi="Times New Roman" w:cs="Times New Roman"/>
                <w:sz w:val="24"/>
                <w:szCs w:val="24"/>
              </w:rPr>
              <w:t>₱</w:t>
            </w:r>
            <w:r w:rsidRPr="00824BC0">
              <w:rPr>
                <w:rFonts w:ascii="Times New Roman" w:hAnsi="Times New Roman" w:cs="Times New Roman"/>
                <w:sz w:val="24"/>
                <w:szCs w:val="24"/>
                <w:lang w:eastAsia="en-PH"/>
              </w:rPr>
              <w:t xml:space="preserve">    20,000.00</w:t>
            </w:r>
          </w:p>
        </w:tc>
        <w:tc>
          <w:tcPr>
            <w:tcW w:w="3510" w:type="dxa"/>
            <w:noWrap/>
            <w:hideMark/>
          </w:tcPr>
          <w:p w14:paraId="3E50CE86" w14:textId="77777777" w:rsidR="008A485B" w:rsidRPr="00824BC0" w:rsidRDefault="008A485B" w:rsidP="008A485B">
            <w:pPr>
              <w:jc w:val="right"/>
              <w:rPr>
                <w:rFonts w:ascii="Times New Roman" w:hAnsi="Times New Roman" w:cs="Times New Roman"/>
                <w:b/>
                <w:bCs/>
                <w:sz w:val="24"/>
                <w:szCs w:val="24"/>
                <w:lang w:eastAsia="en-PH"/>
              </w:rPr>
            </w:pPr>
            <w:r w:rsidRPr="00824BC0">
              <w:rPr>
                <w:rFonts w:ascii="Times New Roman" w:hAnsi="Times New Roman" w:cs="Times New Roman"/>
                <w:b/>
                <w:bCs/>
                <w:sz w:val="24"/>
                <w:szCs w:val="24"/>
                <w:lang w:eastAsia="en-PH"/>
              </w:rPr>
              <w:t xml:space="preserve"> </w:t>
            </w:r>
            <w:r w:rsidRPr="00824BC0">
              <w:rPr>
                <w:rFonts w:ascii="Times New Roman" w:hAnsi="Times New Roman" w:cs="Times New Roman"/>
                <w:b/>
                <w:bCs/>
                <w:sz w:val="24"/>
                <w:szCs w:val="24"/>
              </w:rPr>
              <w:t>₱</w:t>
            </w:r>
            <w:r w:rsidRPr="00824BC0">
              <w:rPr>
                <w:rFonts w:ascii="Times New Roman" w:hAnsi="Times New Roman" w:cs="Times New Roman"/>
                <w:b/>
                <w:bCs/>
                <w:sz w:val="24"/>
                <w:szCs w:val="24"/>
                <w:lang w:eastAsia="en-PH"/>
              </w:rPr>
              <w:t xml:space="preserve"> 2,023,000.00</w:t>
            </w:r>
          </w:p>
        </w:tc>
      </w:tr>
    </w:tbl>
    <w:p w14:paraId="1DF65664" w14:textId="77777777" w:rsidR="008A485B" w:rsidRPr="00824BC0" w:rsidRDefault="008A485B" w:rsidP="008A485B">
      <w:pPr>
        <w:spacing w:after="0" w:line="240" w:lineRule="auto"/>
        <w:ind w:firstLine="720"/>
        <w:jc w:val="center"/>
        <w:rPr>
          <w:rFonts w:ascii="Times New Roman" w:hAnsi="Times New Roman" w:cs="Times New Roman"/>
          <w:sz w:val="24"/>
          <w:szCs w:val="24"/>
        </w:rPr>
      </w:pPr>
    </w:p>
    <w:p w14:paraId="0E5D0363" w14:textId="77777777" w:rsidR="008A485B" w:rsidRPr="00824BC0" w:rsidRDefault="008A485B" w:rsidP="00A54FB3">
      <w:pPr>
        <w:pStyle w:val="ListParagraph"/>
        <w:numPr>
          <w:ilvl w:val="1"/>
          <w:numId w:val="5"/>
        </w:numPr>
        <w:ind w:left="0" w:firstLine="0"/>
        <w:jc w:val="both"/>
        <w:rPr>
          <w:szCs w:val="24"/>
        </w:rPr>
      </w:pPr>
      <w:r w:rsidRPr="00824BC0">
        <w:rPr>
          <w:szCs w:val="24"/>
        </w:rPr>
        <w:t xml:space="preserve">Out of the 491 student beneficiaries, only 86 students were able to fully settle their accounts. For the remaining 405 grantees, demand letters were already sent by BASC but most of them did not reply.  Some were returned due to unknown addresses. </w:t>
      </w:r>
    </w:p>
    <w:p w14:paraId="2157A444" w14:textId="77777777" w:rsidR="008A485B" w:rsidRPr="00824BC0" w:rsidRDefault="008A485B" w:rsidP="008A485B">
      <w:pPr>
        <w:spacing w:after="0" w:line="240" w:lineRule="auto"/>
        <w:ind w:firstLine="720"/>
        <w:jc w:val="both"/>
        <w:rPr>
          <w:rFonts w:ascii="Times New Roman" w:hAnsi="Times New Roman" w:cs="Times New Roman"/>
          <w:sz w:val="24"/>
          <w:szCs w:val="24"/>
        </w:rPr>
      </w:pPr>
    </w:p>
    <w:p w14:paraId="3A457A21" w14:textId="77777777" w:rsidR="008A485B" w:rsidRPr="00824BC0" w:rsidRDefault="008A485B" w:rsidP="00A54FB3">
      <w:pPr>
        <w:pStyle w:val="ListParagraph"/>
        <w:numPr>
          <w:ilvl w:val="1"/>
          <w:numId w:val="5"/>
        </w:numPr>
        <w:ind w:left="0" w:firstLine="0"/>
        <w:jc w:val="both"/>
        <w:rPr>
          <w:szCs w:val="24"/>
        </w:rPr>
      </w:pPr>
      <w:r w:rsidRPr="00824BC0">
        <w:rPr>
          <w:szCs w:val="24"/>
        </w:rPr>
        <w:t>If we refer to the MOA covering the loans, BASC has the legal right to demand payment and institute legal actions against the students who failed to comply with their obligations as the same have been overdue for more than ten years. However, aside from sending demand letters, no other recourse was taken by BASC to recover the loaned amounts.</w:t>
      </w:r>
    </w:p>
    <w:p w14:paraId="166B0B06" w14:textId="77777777" w:rsidR="008A485B" w:rsidRPr="00824BC0" w:rsidRDefault="008A485B" w:rsidP="008A485B">
      <w:pPr>
        <w:spacing w:after="0" w:line="240" w:lineRule="auto"/>
        <w:jc w:val="both"/>
        <w:rPr>
          <w:rFonts w:ascii="Times New Roman" w:hAnsi="Times New Roman" w:cs="Times New Roman"/>
          <w:sz w:val="24"/>
          <w:szCs w:val="24"/>
        </w:rPr>
      </w:pPr>
    </w:p>
    <w:p w14:paraId="2392A026" w14:textId="5ABD5688" w:rsidR="008A485B" w:rsidRPr="00824BC0" w:rsidRDefault="008A485B" w:rsidP="00A54FB3">
      <w:pPr>
        <w:pStyle w:val="ListParagraph"/>
        <w:numPr>
          <w:ilvl w:val="1"/>
          <w:numId w:val="5"/>
        </w:numPr>
        <w:ind w:left="0" w:firstLine="0"/>
        <w:jc w:val="both"/>
        <w:rPr>
          <w:i/>
          <w:iCs/>
          <w:szCs w:val="24"/>
        </w:rPr>
      </w:pPr>
      <w:r w:rsidRPr="00824BC0">
        <w:rPr>
          <w:szCs w:val="24"/>
        </w:rPr>
        <w:t xml:space="preserve">Due to Management’s failure to compel and impose sanctions against the defaulting borrowers, the overdue loans granted to students under the CHED-sponsored programs remained unpaid. </w:t>
      </w:r>
      <w:r w:rsidR="0031401F" w:rsidRPr="00824BC0">
        <w:rPr>
          <w:szCs w:val="24"/>
        </w:rPr>
        <w:t>Consequently</w:t>
      </w:r>
      <w:r w:rsidRPr="00824BC0">
        <w:rPr>
          <w:szCs w:val="24"/>
        </w:rPr>
        <w:t xml:space="preserve">, the government was deprived of the benefits from the use of funds had </w:t>
      </w:r>
      <w:r w:rsidR="006024A3">
        <w:rPr>
          <w:szCs w:val="24"/>
        </w:rPr>
        <w:t>the arrears</w:t>
      </w:r>
      <w:r w:rsidRPr="00824BC0">
        <w:rPr>
          <w:szCs w:val="24"/>
        </w:rPr>
        <w:t xml:space="preserve"> been collected</w:t>
      </w:r>
      <w:r w:rsidR="0031401F" w:rsidRPr="00824BC0">
        <w:rPr>
          <w:szCs w:val="24"/>
        </w:rPr>
        <w:t xml:space="preserve"> on time</w:t>
      </w:r>
      <w:r w:rsidRPr="00824BC0">
        <w:rPr>
          <w:szCs w:val="24"/>
        </w:rPr>
        <w:t xml:space="preserve">.  </w:t>
      </w:r>
      <w:r w:rsidRPr="00824BC0">
        <w:rPr>
          <w:i/>
          <w:iCs/>
          <w:szCs w:val="24"/>
        </w:rPr>
        <w:t xml:space="preserve"> </w:t>
      </w:r>
    </w:p>
    <w:p w14:paraId="4B16A9C5" w14:textId="77777777" w:rsidR="008A485B" w:rsidRPr="00824BC0" w:rsidRDefault="008A485B" w:rsidP="008A485B">
      <w:pPr>
        <w:spacing w:after="0" w:line="240" w:lineRule="auto"/>
        <w:jc w:val="both"/>
        <w:rPr>
          <w:rFonts w:ascii="Times New Roman" w:hAnsi="Times New Roman" w:cs="Times New Roman"/>
          <w:b/>
          <w:bCs/>
          <w:sz w:val="24"/>
          <w:szCs w:val="24"/>
        </w:rPr>
      </w:pPr>
    </w:p>
    <w:p w14:paraId="7B642C38" w14:textId="1B046A9D" w:rsidR="008A485B" w:rsidRPr="00824BC0" w:rsidRDefault="0031401F" w:rsidP="00A54FB3">
      <w:pPr>
        <w:pStyle w:val="ListParagraph"/>
        <w:numPr>
          <w:ilvl w:val="1"/>
          <w:numId w:val="5"/>
        </w:numPr>
        <w:ind w:left="0" w:firstLine="0"/>
        <w:jc w:val="both"/>
        <w:rPr>
          <w:szCs w:val="24"/>
        </w:rPr>
      </w:pPr>
      <w:r w:rsidRPr="00824BC0">
        <w:rPr>
          <w:b/>
          <w:bCs/>
          <w:szCs w:val="24"/>
        </w:rPr>
        <w:t xml:space="preserve">We </w:t>
      </w:r>
      <w:r w:rsidR="008A485B" w:rsidRPr="00824BC0">
        <w:rPr>
          <w:b/>
          <w:bCs/>
          <w:szCs w:val="24"/>
        </w:rPr>
        <w:t>recommend</w:t>
      </w:r>
      <w:r w:rsidR="00A54FB3" w:rsidRPr="00824BC0">
        <w:rPr>
          <w:b/>
          <w:bCs/>
          <w:szCs w:val="24"/>
        </w:rPr>
        <w:t xml:space="preserve">ed and </w:t>
      </w:r>
      <w:r w:rsidR="008A485B" w:rsidRPr="00824BC0">
        <w:rPr>
          <w:b/>
          <w:bCs/>
          <w:szCs w:val="24"/>
        </w:rPr>
        <w:t xml:space="preserve">Management </w:t>
      </w:r>
      <w:r w:rsidR="00A54FB3" w:rsidRPr="00824BC0">
        <w:rPr>
          <w:b/>
          <w:bCs/>
          <w:szCs w:val="24"/>
        </w:rPr>
        <w:t>agreed to</w:t>
      </w:r>
      <w:r w:rsidRPr="00824BC0">
        <w:rPr>
          <w:b/>
          <w:bCs/>
          <w:szCs w:val="24"/>
        </w:rPr>
        <w:t xml:space="preserve"> (i)</w:t>
      </w:r>
      <w:r w:rsidR="00A54FB3" w:rsidRPr="00824BC0">
        <w:rPr>
          <w:b/>
          <w:bCs/>
          <w:szCs w:val="24"/>
        </w:rPr>
        <w:t xml:space="preserve"> </w:t>
      </w:r>
      <w:r w:rsidR="008A485B" w:rsidRPr="00824BC0">
        <w:rPr>
          <w:b/>
          <w:bCs/>
          <w:szCs w:val="24"/>
        </w:rPr>
        <w:t xml:space="preserve">exert extra effort in developing an effective collection scheme to compel the student beneficiaries to </w:t>
      </w:r>
      <w:r w:rsidR="006577A9" w:rsidRPr="00824BC0">
        <w:rPr>
          <w:b/>
          <w:bCs/>
          <w:szCs w:val="24"/>
        </w:rPr>
        <w:t>settle</w:t>
      </w:r>
      <w:r w:rsidR="008A485B" w:rsidRPr="00824BC0">
        <w:rPr>
          <w:b/>
          <w:bCs/>
          <w:szCs w:val="24"/>
        </w:rPr>
        <w:t xml:space="preserve"> their outstanding balances and</w:t>
      </w:r>
      <w:r w:rsidR="006577A9" w:rsidRPr="00824BC0">
        <w:rPr>
          <w:b/>
          <w:bCs/>
          <w:szCs w:val="24"/>
        </w:rPr>
        <w:t xml:space="preserve"> (ii)</w:t>
      </w:r>
      <w:r w:rsidR="008A485B" w:rsidRPr="00824BC0">
        <w:rPr>
          <w:b/>
          <w:bCs/>
          <w:szCs w:val="24"/>
        </w:rPr>
        <w:t xml:space="preserve"> institute legal remedies, such as garnishment of personal property, in case of non-compliance </w:t>
      </w:r>
      <w:r w:rsidR="006577A9" w:rsidRPr="00824BC0">
        <w:rPr>
          <w:b/>
          <w:bCs/>
          <w:szCs w:val="24"/>
        </w:rPr>
        <w:t>with</w:t>
      </w:r>
      <w:r w:rsidR="008A485B" w:rsidRPr="00824BC0">
        <w:rPr>
          <w:b/>
          <w:bCs/>
          <w:szCs w:val="24"/>
        </w:rPr>
        <w:t xml:space="preserve"> the demand.</w:t>
      </w:r>
    </w:p>
    <w:p w14:paraId="50E42B79" w14:textId="77777777" w:rsidR="0050514F" w:rsidRPr="00824BC0" w:rsidRDefault="0050514F" w:rsidP="00A54FB3">
      <w:pPr>
        <w:spacing w:after="0"/>
        <w:rPr>
          <w:szCs w:val="24"/>
        </w:rPr>
      </w:pPr>
    </w:p>
    <w:p w14:paraId="1A4B44B2" w14:textId="1D722AC9" w:rsidR="00A54FB3" w:rsidRPr="00824BC0" w:rsidRDefault="00A54FB3" w:rsidP="00A54FB3">
      <w:pPr>
        <w:spacing w:after="0"/>
        <w:rPr>
          <w:rFonts w:ascii="Times New Roman" w:hAnsi="Times New Roman" w:cs="Times New Roman"/>
          <w:i/>
          <w:sz w:val="24"/>
          <w:szCs w:val="24"/>
        </w:rPr>
      </w:pPr>
      <w:r w:rsidRPr="00824BC0">
        <w:rPr>
          <w:rFonts w:ascii="Times New Roman" w:hAnsi="Times New Roman" w:cs="Times New Roman"/>
          <w:i/>
          <w:sz w:val="24"/>
          <w:szCs w:val="24"/>
        </w:rPr>
        <w:t>Management Comments:</w:t>
      </w:r>
    </w:p>
    <w:p w14:paraId="3FE020A2" w14:textId="77777777" w:rsidR="00A54FB3" w:rsidRPr="00824BC0" w:rsidRDefault="00A54FB3" w:rsidP="00A54FB3">
      <w:pPr>
        <w:spacing w:after="0"/>
        <w:rPr>
          <w:rFonts w:ascii="Times New Roman" w:hAnsi="Times New Roman" w:cs="Times New Roman"/>
          <w:i/>
          <w:sz w:val="24"/>
          <w:szCs w:val="24"/>
        </w:rPr>
      </w:pPr>
    </w:p>
    <w:p w14:paraId="77EA2743" w14:textId="0A4DD7E7" w:rsidR="00FE6D6A" w:rsidRPr="00824BC0" w:rsidRDefault="00FE6D6A" w:rsidP="005C6B05">
      <w:pPr>
        <w:pStyle w:val="ListParagraph"/>
        <w:numPr>
          <w:ilvl w:val="1"/>
          <w:numId w:val="5"/>
        </w:numPr>
        <w:ind w:left="0" w:firstLine="0"/>
        <w:jc w:val="both"/>
        <w:rPr>
          <w:szCs w:val="24"/>
        </w:rPr>
      </w:pPr>
      <w:r w:rsidRPr="00824BC0">
        <w:rPr>
          <w:szCs w:val="24"/>
        </w:rPr>
        <w:t>In their reply to AOM No. 2022-02(2021) dated February 23, 2022 and also reiterated during the exit conference on March 31, 2022, Management informed the Audit Team that they have sent demand letters to the student beneficiaries through the assistance of the Scholarship Unit of the Office of the Student Affairs and Services, which contacted the students through social media.  Management likewise sought the</w:t>
      </w:r>
      <w:r w:rsidR="006577A9" w:rsidRPr="00824BC0">
        <w:rPr>
          <w:szCs w:val="24"/>
        </w:rPr>
        <w:t xml:space="preserve"> assistance</w:t>
      </w:r>
      <w:r w:rsidRPr="00824BC0">
        <w:rPr>
          <w:szCs w:val="24"/>
        </w:rPr>
        <w:t xml:space="preserve"> of the different Institutes of the College in locating the students, </w:t>
      </w:r>
      <w:r w:rsidR="006577A9" w:rsidRPr="00824BC0">
        <w:rPr>
          <w:szCs w:val="24"/>
        </w:rPr>
        <w:t>since</w:t>
      </w:r>
      <w:r w:rsidRPr="00824BC0">
        <w:rPr>
          <w:szCs w:val="24"/>
        </w:rPr>
        <w:t xml:space="preserve"> many of the demand letters sent through courier were returned to BASC due to relocation or change of address of the recipients.  Management assured the Audit Team that the College is doing </w:t>
      </w:r>
      <w:r w:rsidR="006577A9" w:rsidRPr="00824BC0">
        <w:rPr>
          <w:szCs w:val="24"/>
        </w:rPr>
        <w:t xml:space="preserve">its best </w:t>
      </w:r>
      <w:r w:rsidRPr="00824BC0">
        <w:rPr>
          <w:szCs w:val="24"/>
        </w:rPr>
        <w:t>to collect</w:t>
      </w:r>
      <w:r w:rsidR="006577A9" w:rsidRPr="00824BC0">
        <w:rPr>
          <w:szCs w:val="24"/>
        </w:rPr>
        <w:t>/recover the funds loaned out.</w:t>
      </w:r>
    </w:p>
    <w:p w14:paraId="6760826C" w14:textId="77777777" w:rsidR="006577A9" w:rsidRPr="00824BC0" w:rsidRDefault="006577A9" w:rsidP="006577A9">
      <w:pPr>
        <w:pStyle w:val="ListParagraph"/>
        <w:ind w:left="0"/>
        <w:jc w:val="both"/>
        <w:rPr>
          <w:szCs w:val="24"/>
        </w:rPr>
      </w:pPr>
    </w:p>
    <w:p w14:paraId="6DA40D79" w14:textId="6E3C84A7" w:rsidR="00FE6D6A" w:rsidRPr="00824BC0" w:rsidRDefault="00FE6D6A" w:rsidP="00A54FB3">
      <w:pPr>
        <w:pStyle w:val="ListParagraph"/>
        <w:numPr>
          <w:ilvl w:val="1"/>
          <w:numId w:val="5"/>
        </w:numPr>
        <w:ind w:left="0" w:firstLine="0"/>
        <w:jc w:val="both"/>
        <w:rPr>
          <w:szCs w:val="24"/>
        </w:rPr>
      </w:pPr>
      <w:r w:rsidRPr="00824BC0">
        <w:rPr>
          <w:szCs w:val="24"/>
        </w:rPr>
        <w:t>In addition, Management informed the Audit Team that three students</w:t>
      </w:r>
      <w:r w:rsidR="005348B0" w:rsidRPr="00824BC0">
        <w:rPr>
          <w:szCs w:val="24"/>
        </w:rPr>
        <w:t xml:space="preserve"> have</w:t>
      </w:r>
      <w:r w:rsidRPr="00824BC0">
        <w:rPr>
          <w:szCs w:val="24"/>
        </w:rPr>
        <w:t xml:space="preserve"> paid their SAFE Loan</w:t>
      </w:r>
      <w:r w:rsidR="002F1CC6" w:rsidRPr="00824BC0">
        <w:rPr>
          <w:szCs w:val="24"/>
        </w:rPr>
        <w:t xml:space="preserve"> obligation</w:t>
      </w:r>
      <w:r w:rsidRPr="00824BC0">
        <w:rPr>
          <w:szCs w:val="24"/>
        </w:rPr>
        <w:t xml:space="preserve">s </w:t>
      </w:r>
      <w:r w:rsidR="006577A9" w:rsidRPr="00824BC0">
        <w:rPr>
          <w:szCs w:val="24"/>
        </w:rPr>
        <w:t>totaling</w:t>
      </w:r>
      <w:r w:rsidR="005348B0" w:rsidRPr="00824BC0">
        <w:rPr>
          <w:szCs w:val="24"/>
        </w:rPr>
        <w:t xml:space="preserve"> ₱10,500.00</w:t>
      </w:r>
      <w:r w:rsidR="006577A9" w:rsidRPr="00824BC0">
        <w:rPr>
          <w:szCs w:val="24"/>
        </w:rPr>
        <w:t>, as</w:t>
      </w:r>
      <w:r w:rsidR="005348B0" w:rsidRPr="00824BC0">
        <w:rPr>
          <w:szCs w:val="24"/>
        </w:rPr>
        <w:t xml:space="preserve"> evidenced by the following:</w:t>
      </w:r>
    </w:p>
    <w:p w14:paraId="00C15D83" w14:textId="295F8457" w:rsidR="005348B0" w:rsidRPr="00824BC0" w:rsidRDefault="005348B0" w:rsidP="005348B0">
      <w:pPr>
        <w:pStyle w:val="ListParagraph"/>
        <w:rPr>
          <w:szCs w:val="24"/>
        </w:rPr>
      </w:pPr>
    </w:p>
    <w:tbl>
      <w:tblPr>
        <w:tblStyle w:val="TableGrid"/>
        <w:tblW w:w="8550" w:type="dxa"/>
        <w:tblInd w:w="85" w:type="dxa"/>
        <w:tblLook w:val="04A0" w:firstRow="1" w:lastRow="0" w:firstColumn="1" w:lastColumn="0" w:noHBand="0" w:noVBand="1"/>
      </w:tblPr>
      <w:tblGrid>
        <w:gridCol w:w="3150"/>
        <w:gridCol w:w="2518"/>
        <w:gridCol w:w="2882"/>
      </w:tblGrid>
      <w:tr w:rsidR="005348B0" w:rsidRPr="00824BC0" w14:paraId="6D7A20AF" w14:textId="77777777" w:rsidTr="000D6661">
        <w:trPr>
          <w:tblHeader/>
        </w:trPr>
        <w:tc>
          <w:tcPr>
            <w:tcW w:w="3150" w:type="dxa"/>
          </w:tcPr>
          <w:p w14:paraId="1E5DFFAE" w14:textId="596830E2" w:rsidR="005348B0" w:rsidRPr="00824BC0" w:rsidRDefault="005348B0" w:rsidP="005348B0">
            <w:pPr>
              <w:jc w:val="center"/>
              <w:rPr>
                <w:rFonts w:ascii="Times New Roman" w:hAnsi="Times New Roman" w:cs="Times New Roman"/>
                <w:i/>
                <w:iCs/>
                <w:sz w:val="24"/>
                <w:szCs w:val="24"/>
              </w:rPr>
            </w:pPr>
            <w:r w:rsidRPr="00824BC0">
              <w:rPr>
                <w:rFonts w:ascii="Times New Roman" w:hAnsi="Times New Roman" w:cs="Times New Roman"/>
                <w:i/>
                <w:iCs/>
                <w:sz w:val="24"/>
                <w:szCs w:val="24"/>
              </w:rPr>
              <w:t>Official Receipt No.</w:t>
            </w:r>
          </w:p>
        </w:tc>
        <w:tc>
          <w:tcPr>
            <w:tcW w:w="2518" w:type="dxa"/>
          </w:tcPr>
          <w:p w14:paraId="172688C9" w14:textId="757B880B" w:rsidR="005348B0" w:rsidRPr="00824BC0" w:rsidRDefault="005348B0" w:rsidP="005348B0">
            <w:pPr>
              <w:jc w:val="center"/>
              <w:rPr>
                <w:rFonts w:ascii="Times New Roman" w:hAnsi="Times New Roman" w:cs="Times New Roman"/>
                <w:i/>
                <w:iCs/>
                <w:sz w:val="24"/>
                <w:szCs w:val="24"/>
              </w:rPr>
            </w:pPr>
            <w:r w:rsidRPr="00824BC0">
              <w:rPr>
                <w:rFonts w:ascii="Times New Roman" w:hAnsi="Times New Roman" w:cs="Times New Roman"/>
                <w:i/>
                <w:iCs/>
                <w:sz w:val="24"/>
                <w:szCs w:val="24"/>
              </w:rPr>
              <w:t>Date</w:t>
            </w:r>
          </w:p>
        </w:tc>
        <w:tc>
          <w:tcPr>
            <w:tcW w:w="2882" w:type="dxa"/>
          </w:tcPr>
          <w:p w14:paraId="3C5A40F1" w14:textId="778D516E" w:rsidR="005348B0" w:rsidRPr="00824BC0" w:rsidRDefault="005348B0" w:rsidP="005348B0">
            <w:pPr>
              <w:jc w:val="center"/>
              <w:rPr>
                <w:rFonts w:ascii="Times New Roman" w:hAnsi="Times New Roman" w:cs="Times New Roman"/>
                <w:i/>
                <w:iCs/>
                <w:sz w:val="24"/>
                <w:szCs w:val="24"/>
              </w:rPr>
            </w:pPr>
            <w:r w:rsidRPr="00824BC0">
              <w:rPr>
                <w:rFonts w:ascii="Times New Roman" w:hAnsi="Times New Roman" w:cs="Times New Roman"/>
                <w:i/>
                <w:iCs/>
                <w:sz w:val="24"/>
                <w:szCs w:val="24"/>
              </w:rPr>
              <w:t>Amount</w:t>
            </w:r>
          </w:p>
        </w:tc>
      </w:tr>
      <w:tr w:rsidR="005348B0" w:rsidRPr="00824BC0" w14:paraId="41CC4FE3" w14:textId="77777777" w:rsidTr="0050514F">
        <w:tc>
          <w:tcPr>
            <w:tcW w:w="3150" w:type="dxa"/>
          </w:tcPr>
          <w:p w14:paraId="0144D031" w14:textId="7D17BB79" w:rsidR="005348B0" w:rsidRPr="00824BC0" w:rsidRDefault="005348B0" w:rsidP="005348B0">
            <w:pPr>
              <w:jc w:val="center"/>
              <w:rPr>
                <w:rFonts w:ascii="Times New Roman" w:hAnsi="Times New Roman" w:cs="Times New Roman"/>
                <w:sz w:val="24"/>
                <w:szCs w:val="24"/>
              </w:rPr>
            </w:pPr>
            <w:r w:rsidRPr="00824BC0">
              <w:rPr>
                <w:rFonts w:ascii="Times New Roman" w:hAnsi="Times New Roman" w:cs="Times New Roman"/>
                <w:sz w:val="24"/>
                <w:szCs w:val="24"/>
              </w:rPr>
              <w:t>5435036</w:t>
            </w:r>
          </w:p>
        </w:tc>
        <w:tc>
          <w:tcPr>
            <w:tcW w:w="2518" w:type="dxa"/>
          </w:tcPr>
          <w:p w14:paraId="47F38998" w14:textId="314E5EC5" w:rsidR="005348B0" w:rsidRPr="00824BC0" w:rsidRDefault="005348B0" w:rsidP="005348B0">
            <w:pPr>
              <w:jc w:val="center"/>
              <w:rPr>
                <w:rFonts w:ascii="Times New Roman" w:hAnsi="Times New Roman" w:cs="Times New Roman"/>
                <w:sz w:val="24"/>
                <w:szCs w:val="24"/>
              </w:rPr>
            </w:pPr>
            <w:r w:rsidRPr="00824BC0">
              <w:rPr>
                <w:rFonts w:ascii="Times New Roman" w:hAnsi="Times New Roman" w:cs="Times New Roman"/>
                <w:sz w:val="24"/>
                <w:szCs w:val="24"/>
              </w:rPr>
              <w:t>January 31, 2022</w:t>
            </w:r>
          </w:p>
        </w:tc>
        <w:tc>
          <w:tcPr>
            <w:tcW w:w="2882" w:type="dxa"/>
          </w:tcPr>
          <w:p w14:paraId="64F262FC" w14:textId="6309B59C" w:rsidR="005348B0" w:rsidRPr="00824BC0" w:rsidRDefault="005348B0" w:rsidP="005348B0">
            <w:pPr>
              <w:jc w:val="right"/>
              <w:rPr>
                <w:rFonts w:ascii="Times New Roman" w:hAnsi="Times New Roman" w:cs="Times New Roman"/>
                <w:sz w:val="24"/>
                <w:szCs w:val="24"/>
              </w:rPr>
            </w:pPr>
            <w:r w:rsidRPr="00824BC0">
              <w:rPr>
                <w:rFonts w:ascii="Times New Roman" w:hAnsi="Times New Roman" w:cs="Times New Roman"/>
                <w:sz w:val="24"/>
                <w:szCs w:val="24"/>
              </w:rPr>
              <w:t>₱</w:t>
            </w:r>
            <w:r w:rsidR="002F1CC6" w:rsidRPr="00824BC0">
              <w:rPr>
                <w:rFonts w:ascii="Times New Roman" w:hAnsi="Times New Roman" w:cs="Times New Roman"/>
                <w:sz w:val="24"/>
                <w:szCs w:val="24"/>
              </w:rPr>
              <w:t xml:space="preserve">  </w:t>
            </w:r>
            <w:r w:rsidRPr="00824BC0">
              <w:rPr>
                <w:rFonts w:ascii="Times New Roman" w:hAnsi="Times New Roman" w:cs="Times New Roman"/>
                <w:sz w:val="24"/>
                <w:szCs w:val="24"/>
              </w:rPr>
              <w:t xml:space="preserve">  5,000.00</w:t>
            </w:r>
          </w:p>
        </w:tc>
      </w:tr>
      <w:tr w:rsidR="005348B0" w:rsidRPr="00824BC0" w14:paraId="330EED15" w14:textId="77777777" w:rsidTr="0050514F">
        <w:tc>
          <w:tcPr>
            <w:tcW w:w="3150" w:type="dxa"/>
          </w:tcPr>
          <w:p w14:paraId="2C8A88AE" w14:textId="77777777" w:rsidR="005348B0" w:rsidRPr="00824BC0" w:rsidRDefault="005348B0" w:rsidP="00D56FEC">
            <w:pPr>
              <w:jc w:val="center"/>
              <w:rPr>
                <w:rFonts w:ascii="Times New Roman" w:hAnsi="Times New Roman" w:cs="Times New Roman"/>
                <w:sz w:val="24"/>
                <w:szCs w:val="24"/>
              </w:rPr>
            </w:pPr>
            <w:r w:rsidRPr="00824BC0">
              <w:rPr>
                <w:rFonts w:ascii="Times New Roman" w:hAnsi="Times New Roman" w:cs="Times New Roman"/>
                <w:sz w:val="24"/>
                <w:szCs w:val="24"/>
              </w:rPr>
              <w:t>5435043</w:t>
            </w:r>
          </w:p>
        </w:tc>
        <w:tc>
          <w:tcPr>
            <w:tcW w:w="2518" w:type="dxa"/>
          </w:tcPr>
          <w:p w14:paraId="59AA550C" w14:textId="77777777" w:rsidR="005348B0" w:rsidRPr="00824BC0" w:rsidRDefault="005348B0" w:rsidP="00D56FEC">
            <w:pPr>
              <w:jc w:val="center"/>
              <w:rPr>
                <w:rFonts w:ascii="Times New Roman" w:hAnsi="Times New Roman" w:cs="Times New Roman"/>
                <w:sz w:val="24"/>
                <w:szCs w:val="24"/>
              </w:rPr>
            </w:pPr>
            <w:r w:rsidRPr="00824BC0">
              <w:rPr>
                <w:rFonts w:ascii="Times New Roman" w:hAnsi="Times New Roman" w:cs="Times New Roman"/>
                <w:sz w:val="24"/>
                <w:szCs w:val="24"/>
              </w:rPr>
              <w:t>February 11, 2022</w:t>
            </w:r>
          </w:p>
        </w:tc>
        <w:tc>
          <w:tcPr>
            <w:tcW w:w="2882" w:type="dxa"/>
          </w:tcPr>
          <w:p w14:paraId="768DA564" w14:textId="5A764F11" w:rsidR="005348B0" w:rsidRPr="00824BC0" w:rsidRDefault="005348B0" w:rsidP="00D56FEC">
            <w:pPr>
              <w:jc w:val="right"/>
              <w:rPr>
                <w:rFonts w:ascii="Times New Roman" w:hAnsi="Times New Roman" w:cs="Times New Roman"/>
                <w:sz w:val="24"/>
                <w:szCs w:val="24"/>
              </w:rPr>
            </w:pPr>
            <w:r w:rsidRPr="00824BC0">
              <w:rPr>
                <w:rFonts w:ascii="Times New Roman" w:hAnsi="Times New Roman" w:cs="Times New Roman"/>
                <w:sz w:val="24"/>
                <w:szCs w:val="24"/>
              </w:rPr>
              <w:t>5,000.00</w:t>
            </w:r>
          </w:p>
        </w:tc>
      </w:tr>
      <w:tr w:rsidR="005348B0" w:rsidRPr="00824BC0" w14:paraId="50187A5D" w14:textId="77777777" w:rsidTr="0050514F">
        <w:tc>
          <w:tcPr>
            <w:tcW w:w="3150" w:type="dxa"/>
          </w:tcPr>
          <w:p w14:paraId="674901D7" w14:textId="77777777" w:rsidR="005348B0" w:rsidRPr="00824BC0" w:rsidRDefault="005348B0" w:rsidP="00D56FEC">
            <w:pPr>
              <w:jc w:val="center"/>
              <w:rPr>
                <w:rFonts w:ascii="Times New Roman" w:hAnsi="Times New Roman" w:cs="Times New Roman"/>
                <w:sz w:val="24"/>
                <w:szCs w:val="24"/>
              </w:rPr>
            </w:pPr>
            <w:r w:rsidRPr="00824BC0">
              <w:rPr>
                <w:rFonts w:ascii="Times New Roman" w:hAnsi="Times New Roman" w:cs="Times New Roman"/>
                <w:sz w:val="24"/>
                <w:szCs w:val="24"/>
              </w:rPr>
              <w:lastRenderedPageBreak/>
              <w:t>5435048</w:t>
            </w:r>
          </w:p>
        </w:tc>
        <w:tc>
          <w:tcPr>
            <w:tcW w:w="2518" w:type="dxa"/>
          </w:tcPr>
          <w:p w14:paraId="76D887F8" w14:textId="77777777" w:rsidR="005348B0" w:rsidRPr="00824BC0" w:rsidRDefault="005348B0" w:rsidP="00D56FEC">
            <w:pPr>
              <w:jc w:val="center"/>
              <w:rPr>
                <w:rFonts w:ascii="Times New Roman" w:hAnsi="Times New Roman" w:cs="Times New Roman"/>
                <w:sz w:val="24"/>
                <w:szCs w:val="24"/>
              </w:rPr>
            </w:pPr>
            <w:r w:rsidRPr="00824BC0">
              <w:rPr>
                <w:rFonts w:ascii="Times New Roman" w:hAnsi="Times New Roman" w:cs="Times New Roman"/>
                <w:sz w:val="24"/>
                <w:szCs w:val="24"/>
              </w:rPr>
              <w:t>February 12, 2022</w:t>
            </w:r>
          </w:p>
        </w:tc>
        <w:tc>
          <w:tcPr>
            <w:tcW w:w="2882" w:type="dxa"/>
          </w:tcPr>
          <w:p w14:paraId="6BE52064" w14:textId="77777777" w:rsidR="005348B0" w:rsidRPr="00824BC0" w:rsidRDefault="005348B0" w:rsidP="00D56FEC">
            <w:pPr>
              <w:jc w:val="right"/>
              <w:rPr>
                <w:rFonts w:ascii="Times New Roman" w:hAnsi="Times New Roman" w:cs="Times New Roman"/>
                <w:sz w:val="24"/>
                <w:szCs w:val="24"/>
              </w:rPr>
            </w:pPr>
            <w:r w:rsidRPr="00824BC0">
              <w:rPr>
                <w:rFonts w:ascii="Times New Roman" w:hAnsi="Times New Roman" w:cs="Times New Roman"/>
                <w:sz w:val="24"/>
                <w:szCs w:val="24"/>
              </w:rPr>
              <w:t>500.00</w:t>
            </w:r>
          </w:p>
        </w:tc>
      </w:tr>
      <w:tr w:rsidR="005348B0" w:rsidRPr="00824BC0" w14:paraId="72E09394" w14:textId="77777777" w:rsidTr="0050514F">
        <w:tc>
          <w:tcPr>
            <w:tcW w:w="3150" w:type="dxa"/>
          </w:tcPr>
          <w:p w14:paraId="2407B539" w14:textId="3B524777" w:rsidR="005348B0" w:rsidRPr="00824BC0" w:rsidRDefault="005348B0" w:rsidP="005348B0">
            <w:pPr>
              <w:jc w:val="center"/>
              <w:rPr>
                <w:rFonts w:ascii="Times New Roman" w:hAnsi="Times New Roman" w:cs="Times New Roman"/>
                <w:b/>
                <w:bCs/>
                <w:sz w:val="24"/>
                <w:szCs w:val="24"/>
              </w:rPr>
            </w:pPr>
            <w:r w:rsidRPr="00824BC0">
              <w:rPr>
                <w:rFonts w:ascii="Times New Roman" w:hAnsi="Times New Roman" w:cs="Times New Roman"/>
                <w:b/>
                <w:bCs/>
                <w:sz w:val="24"/>
                <w:szCs w:val="24"/>
              </w:rPr>
              <w:t>TOTAL</w:t>
            </w:r>
          </w:p>
        </w:tc>
        <w:tc>
          <w:tcPr>
            <w:tcW w:w="2518" w:type="dxa"/>
          </w:tcPr>
          <w:p w14:paraId="56C00E64" w14:textId="77777777" w:rsidR="005348B0" w:rsidRPr="00824BC0" w:rsidRDefault="005348B0" w:rsidP="005348B0">
            <w:pPr>
              <w:jc w:val="center"/>
              <w:rPr>
                <w:rFonts w:ascii="Times New Roman" w:hAnsi="Times New Roman" w:cs="Times New Roman"/>
                <w:b/>
                <w:bCs/>
                <w:sz w:val="24"/>
                <w:szCs w:val="24"/>
              </w:rPr>
            </w:pPr>
          </w:p>
        </w:tc>
        <w:tc>
          <w:tcPr>
            <w:tcW w:w="2882" w:type="dxa"/>
          </w:tcPr>
          <w:p w14:paraId="20F5057F" w14:textId="0B991723" w:rsidR="005348B0" w:rsidRPr="00824BC0" w:rsidRDefault="005348B0" w:rsidP="005348B0">
            <w:pPr>
              <w:jc w:val="right"/>
              <w:rPr>
                <w:rFonts w:ascii="Times New Roman" w:hAnsi="Times New Roman" w:cs="Times New Roman"/>
                <w:b/>
                <w:bCs/>
                <w:sz w:val="24"/>
                <w:szCs w:val="24"/>
              </w:rPr>
            </w:pPr>
            <w:r w:rsidRPr="00824BC0">
              <w:rPr>
                <w:rFonts w:ascii="Times New Roman" w:hAnsi="Times New Roman" w:cs="Times New Roman"/>
                <w:b/>
                <w:bCs/>
                <w:sz w:val="24"/>
                <w:szCs w:val="24"/>
              </w:rPr>
              <w:t>₱</w:t>
            </w:r>
            <w:r w:rsidR="002F1CC6" w:rsidRPr="00824BC0">
              <w:rPr>
                <w:rFonts w:ascii="Times New Roman" w:hAnsi="Times New Roman" w:cs="Times New Roman"/>
                <w:b/>
                <w:bCs/>
                <w:sz w:val="24"/>
                <w:szCs w:val="24"/>
              </w:rPr>
              <w:t xml:space="preserve">  </w:t>
            </w:r>
            <w:r w:rsidRPr="00824BC0">
              <w:rPr>
                <w:rFonts w:ascii="Times New Roman" w:hAnsi="Times New Roman" w:cs="Times New Roman"/>
                <w:b/>
                <w:bCs/>
                <w:sz w:val="24"/>
                <w:szCs w:val="24"/>
              </w:rPr>
              <w:t>10,500.00</w:t>
            </w:r>
          </w:p>
        </w:tc>
      </w:tr>
    </w:tbl>
    <w:p w14:paraId="330A21BD" w14:textId="77777777" w:rsidR="005348B0" w:rsidRPr="00824BC0" w:rsidRDefault="005348B0" w:rsidP="005348B0">
      <w:pPr>
        <w:pStyle w:val="ListParagraph"/>
        <w:rPr>
          <w:szCs w:val="24"/>
        </w:rPr>
      </w:pPr>
    </w:p>
    <w:p w14:paraId="1926CE34" w14:textId="1F450296" w:rsidR="005348B0" w:rsidRPr="00824BC0" w:rsidRDefault="00F51283" w:rsidP="00A54FB3">
      <w:pPr>
        <w:pStyle w:val="ListParagraph"/>
        <w:numPr>
          <w:ilvl w:val="1"/>
          <w:numId w:val="5"/>
        </w:numPr>
        <w:ind w:left="0" w:firstLine="0"/>
        <w:jc w:val="both"/>
        <w:rPr>
          <w:szCs w:val="24"/>
        </w:rPr>
      </w:pPr>
      <w:r w:rsidRPr="00824BC0">
        <w:rPr>
          <w:szCs w:val="24"/>
        </w:rPr>
        <w:t>Management has sought the assistance of the Office of the Solicitor General (OSG)</w:t>
      </w:r>
      <w:r w:rsidR="0084730C" w:rsidRPr="00824BC0">
        <w:rPr>
          <w:szCs w:val="24"/>
        </w:rPr>
        <w:t xml:space="preserve"> on how to institute possible legal remedies against defaulting borrowers</w:t>
      </w:r>
      <w:r w:rsidRPr="00824BC0">
        <w:rPr>
          <w:szCs w:val="24"/>
        </w:rPr>
        <w:t>.  The matter is now being examined by the OSG.</w:t>
      </w:r>
    </w:p>
    <w:p w14:paraId="69D43BB5" w14:textId="0E03824C" w:rsidR="00A54FB3" w:rsidRPr="00824BC0" w:rsidRDefault="00A54FB3" w:rsidP="00A54FB3">
      <w:pPr>
        <w:pStyle w:val="ListParagraph"/>
        <w:ind w:left="0"/>
        <w:jc w:val="both"/>
        <w:rPr>
          <w:szCs w:val="24"/>
        </w:rPr>
      </w:pPr>
    </w:p>
    <w:p w14:paraId="552E097B" w14:textId="77777777" w:rsidR="000D6661" w:rsidRPr="00824BC0" w:rsidRDefault="000D6661" w:rsidP="00A54FB3">
      <w:pPr>
        <w:pStyle w:val="ListParagraph"/>
        <w:ind w:left="0"/>
        <w:jc w:val="both"/>
        <w:rPr>
          <w:i/>
          <w:szCs w:val="24"/>
        </w:rPr>
      </w:pPr>
    </w:p>
    <w:p w14:paraId="68C3B7F0" w14:textId="52C11ACD" w:rsidR="00A54FB3" w:rsidRPr="00824BC0" w:rsidRDefault="00A54FB3" w:rsidP="00A54FB3">
      <w:pPr>
        <w:pStyle w:val="ListParagraph"/>
        <w:ind w:left="0"/>
        <w:jc w:val="both"/>
        <w:rPr>
          <w:i/>
          <w:szCs w:val="24"/>
        </w:rPr>
      </w:pPr>
      <w:r w:rsidRPr="00824BC0">
        <w:rPr>
          <w:i/>
          <w:szCs w:val="24"/>
        </w:rPr>
        <w:t>Audit of Gender and Development (GAD)</w:t>
      </w:r>
    </w:p>
    <w:p w14:paraId="39B54876" w14:textId="7AA9B5B9" w:rsidR="00A54FB3" w:rsidRPr="00824BC0" w:rsidRDefault="00A54FB3" w:rsidP="00A54FB3">
      <w:pPr>
        <w:pStyle w:val="ListParagraph"/>
        <w:ind w:left="0"/>
        <w:jc w:val="both"/>
        <w:rPr>
          <w:i/>
          <w:szCs w:val="24"/>
        </w:rPr>
      </w:pPr>
    </w:p>
    <w:p w14:paraId="28FEA2BD" w14:textId="49AD17DF" w:rsidR="00A54FB3" w:rsidRPr="00824BC0" w:rsidRDefault="0084730C" w:rsidP="00A54FB3">
      <w:pPr>
        <w:pStyle w:val="ListParagraph"/>
        <w:numPr>
          <w:ilvl w:val="0"/>
          <w:numId w:val="5"/>
        </w:numPr>
        <w:ind w:left="0" w:firstLine="0"/>
        <w:jc w:val="both"/>
        <w:rPr>
          <w:b/>
          <w:i/>
          <w:szCs w:val="24"/>
        </w:rPr>
      </w:pPr>
      <w:bookmarkStart w:id="5" w:name="_Hlk65656406"/>
      <w:r w:rsidRPr="00824BC0">
        <w:rPr>
          <w:b/>
          <w:i/>
          <w:szCs w:val="24"/>
        </w:rPr>
        <w:t xml:space="preserve">A sum of </w:t>
      </w:r>
      <w:r w:rsidR="00A54FB3" w:rsidRPr="00824BC0">
        <w:rPr>
          <w:b/>
          <w:i/>
          <w:szCs w:val="24"/>
        </w:rPr>
        <w:t xml:space="preserve">₱16,591,870.00 or 7.35% of the total agency budget of </w:t>
      </w:r>
      <w:bookmarkStart w:id="6" w:name="_Hlk64460475"/>
      <w:r w:rsidR="00A54FB3" w:rsidRPr="00824BC0">
        <w:rPr>
          <w:b/>
          <w:i/>
          <w:szCs w:val="24"/>
        </w:rPr>
        <w:t>₱</w:t>
      </w:r>
      <w:bookmarkEnd w:id="6"/>
      <w:r w:rsidR="00A54FB3" w:rsidRPr="00824BC0">
        <w:rPr>
          <w:b/>
          <w:i/>
          <w:szCs w:val="24"/>
        </w:rPr>
        <w:t>225,730,000.00 for CY 2021</w:t>
      </w:r>
      <w:r w:rsidRPr="00824BC0">
        <w:rPr>
          <w:b/>
          <w:i/>
          <w:szCs w:val="24"/>
        </w:rPr>
        <w:t xml:space="preserve"> was allocated by the College</w:t>
      </w:r>
      <w:r w:rsidR="00A54FB3" w:rsidRPr="00824BC0">
        <w:rPr>
          <w:b/>
          <w:i/>
          <w:szCs w:val="24"/>
        </w:rPr>
        <w:t xml:space="preserve"> for projects and activities related to Gender and Development (GAD) in accordance with the provisions of Executive Order </w:t>
      </w:r>
      <w:r w:rsidRPr="00824BC0">
        <w:rPr>
          <w:b/>
          <w:i/>
          <w:szCs w:val="24"/>
        </w:rPr>
        <w:t xml:space="preserve">(E.O.) </w:t>
      </w:r>
      <w:r w:rsidR="00A54FB3" w:rsidRPr="00824BC0">
        <w:rPr>
          <w:b/>
          <w:i/>
          <w:szCs w:val="24"/>
        </w:rPr>
        <w:t>No. 273 and P</w:t>
      </w:r>
      <w:r w:rsidRPr="00824BC0">
        <w:rPr>
          <w:b/>
          <w:i/>
          <w:szCs w:val="24"/>
        </w:rPr>
        <w:t xml:space="preserve">hilippine </w:t>
      </w:r>
      <w:r w:rsidR="00A54FB3" w:rsidRPr="00824BC0">
        <w:rPr>
          <w:b/>
          <w:i/>
          <w:szCs w:val="24"/>
        </w:rPr>
        <w:t>C</w:t>
      </w:r>
      <w:r w:rsidRPr="00824BC0">
        <w:rPr>
          <w:b/>
          <w:i/>
          <w:szCs w:val="24"/>
        </w:rPr>
        <w:t xml:space="preserve">ommission on </w:t>
      </w:r>
      <w:r w:rsidR="00A54FB3" w:rsidRPr="00824BC0">
        <w:rPr>
          <w:b/>
          <w:i/>
          <w:szCs w:val="24"/>
        </w:rPr>
        <w:t>W</w:t>
      </w:r>
      <w:r w:rsidRPr="00824BC0">
        <w:rPr>
          <w:b/>
          <w:i/>
          <w:szCs w:val="24"/>
        </w:rPr>
        <w:t>omen/</w:t>
      </w:r>
      <w:r w:rsidR="00A54FB3" w:rsidRPr="00824BC0">
        <w:rPr>
          <w:b/>
          <w:i/>
          <w:szCs w:val="24"/>
        </w:rPr>
        <w:t>N</w:t>
      </w:r>
      <w:r w:rsidRPr="00824BC0">
        <w:rPr>
          <w:b/>
          <w:i/>
          <w:szCs w:val="24"/>
        </w:rPr>
        <w:t>ational Economic and Development Authority</w:t>
      </w:r>
      <w:r w:rsidR="00A54FB3" w:rsidRPr="00824BC0">
        <w:rPr>
          <w:b/>
          <w:i/>
          <w:szCs w:val="24"/>
        </w:rPr>
        <w:t>/D</w:t>
      </w:r>
      <w:r w:rsidRPr="00824BC0">
        <w:rPr>
          <w:b/>
          <w:i/>
          <w:szCs w:val="24"/>
        </w:rPr>
        <w:t xml:space="preserve">epartment of </w:t>
      </w:r>
      <w:r w:rsidR="00A54FB3" w:rsidRPr="00824BC0">
        <w:rPr>
          <w:b/>
          <w:i/>
          <w:szCs w:val="24"/>
        </w:rPr>
        <w:t>B</w:t>
      </w:r>
      <w:r w:rsidRPr="00824BC0">
        <w:rPr>
          <w:b/>
          <w:i/>
          <w:szCs w:val="24"/>
        </w:rPr>
        <w:t xml:space="preserve">udget and </w:t>
      </w:r>
      <w:r w:rsidR="00A54FB3" w:rsidRPr="00824BC0">
        <w:rPr>
          <w:b/>
          <w:i/>
          <w:szCs w:val="24"/>
        </w:rPr>
        <w:t>M</w:t>
      </w:r>
      <w:r w:rsidRPr="00824BC0">
        <w:rPr>
          <w:b/>
          <w:i/>
          <w:szCs w:val="24"/>
        </w:rPr>
        <w:t>anagement</w:t>
      </w:r>
      <w:r w:rsidR="00A54FB3" w:rsidRPr="00824BC0">
        <w:rPr>
          <w:b/>
          <w:i/>
          <w:szCs w:val="24"/>
        </w:rPr>
        <w:t xml:space="preserve"> </w:t>
      </w:r>
      <w:r w:rsidR="00351E85">
        <w:rPr>
          <w:b/>
          <w:i/>
          <w:szCs w:val="24"/>
        </w:rPr>
        <w:t xml:space="preserve">(PCW/NEDA/DBM) </w:t>
      </w:r>
      <w:r w:rsidR="00A54FB3" w:rsidRPr="00824BC0">
        <w:rPr>
          <w:b/>
          <w:i/>
          <w:szCs w:val="24"/>
        </w:rPr>
        <w:t xml:space="preserve">Joint Circular No. 2012-01.  </w:t>
      </w:r>
      <w:bookmarkEnd w:id="5"/>
      <w:r w:rsidRPr="00824BC0">
        <w:rPr>
          <w:b/>
          <w:i/>
          <w:szCs w:val="24"/>
        </w:rPr>
        <w:t>The fund u</w:t>
      </w:r>
      <w:r w:rsidR="00A54FB3" w:rsidRPr="00824BC0">
        <w:rPr>
          <w:b/>
          <w:i/>
          <w:szCs w:val="24"/>
        </w:rPr>
        <w:t>tilization rate was also beyond satisfactory at 179.02% of the budgeted amounts in the proposed GAD Plan and Budget (GPB).  However, only 16 out of 29 GAD Programs/</w:t>
      </w:r>
      <w:r w:rsidR="004C4ADC" w:rsidRPr="00824BC0">
        <w:rPr>
          <w:b/>
          <w:i/>
          <w:szCs w:val="24"/>
        </w:rPr>
        <w:t xml:space="preserve"> </w:t>
      </w:r>
      <w:r w:rsidR="00A54FB3" w:rsidRPr="00824BC0">
        <w:rPr>
          <w:b/>
          <w:i/>
          <w:szCs w:val="24"/>
        </w:rPr>
        <w:t>Activities</w:t>
      </w:r>
      <w:r w:rsidR="004C4ADC" w:rsidRPr="00824BC0">
        <w:rPr>
          <w:b/>
          <w:i/>
          <w:szCs w:val="24"/>
        </w:rPr>
        <w:t>/ Projects</w:t>
      </w:r>
      <w:r w:rsidR="00A54FB3" w:rsidRPr="00824BC0">
        <w:rPr>
          <w:b/>
          <w:i/>
          <w:szCs w:val="24"/>
        </w:rPr>
        <w:t xml:space="preserve"> (PA</w:t>
      </w:r>
      <w:r w:rsidR="004C4ADC" w:rsidRPr="00824BC0">
        <w:rPr>
          <w:b/>
          <w:i/>
          <w:szCs w:val="24"/>
        </w:rPr>
        <w:t>P</w:t>
      </w:r>
      <w:r w:rsidR="00A54FB3" w:rsidRPr="00824BC0">
        <w:rPr>
          <w:b/>
          <w:i/>
          <w:szCs w:val="24"/>
        </w:rPr>
        <w:t>s) or 55.17% were actually implemented in accordance with the GPB; thus, the overall utilization rate is deemed not representative of the Agency’s GAD performance.</w:t>
      </w:r>
    </w:p>
    <w:p w14:paraId="4BB5F497" w14:textId="77777777" w:rsidR="00A54FB3" w:rsidRPr="00824BC0" w:rsidRDefault="00A54FB3" w:rsidP="00A54FB3">
      <w:pPr>
        <w:pStyle w:val="Body"/>
        <w:jc w:val="both"/>
        <w:rPr>
          <w:rFonts w:eastAsia="Times New Roman" w:cs="Times New Roman"/>
          <w:b/>
          <w:i/>
        </w:rPr>
      </w:pPr>
    </w:p>
    <w:p w14:paraId="7D63A987" w14:textId="70FCCEFE" w:rsidR="00A54FB3" w:rsidRPr="00824BC0" w:rsidRDefault="00A54FB3" w:rsidP="00A54FB3">
      <w:pPr>
        <w:pStyle w:val="ListParagraph"/>
        <w:numPr>
          <w:ilvl w:val="1"/>
          <w:numId w:val="5"/>
        </w:numPr>
        <w:ind w:left="0" w:firstLine="0"/>
        <w:jc w:val="both"/>
        <w:rPr>
          <w:szCs w:val="24"/>
        </w:rPr>
      </w:pPr>
      <w:r w:rsidRPr="00824BC0">
        <w:rPr>
          <w:bCs/>
          <w:iCs/>
          <w:szCs w:val="24"/>
          <w:lang w:eastAsia="en-PH"/>
        </w:rPr>
        <w:t>Executive</w:t>
      </w:r>
      <w:r w:rsidRPr="00824BC0">
        <w:rPr>
          <w:szCs w:val="24"/>
        </w:rPr>
        <w:t xml:space="preserve"> Order </w:t>
      </w:r>
      <w:r w:rsidR="0084730C" w:rsidRPr="00824BC0">
        <w:rPr>
          <w:szCs w:val="24"/>
        </w:rPr>
        <w:t xml:space="preserve">(E.O.) </w:t>
      </w:r>
      <w:r w:rsidRPr="00824BC0">
        <w:rPr>
          <w:szCs w:val="24"/>
        </w:rPr>
        <w:t xml:space="preserve">No. 273 mandates agencies to incorporate and reflect Gender and Development (GAD) concerns in their agency performance commitment contracts, annual budget proposals, and work and financial plans. Agency heads are instructed to integrate GAD planning in the regular activities of their respective agencies, the cost of implementation of which shall be at least five percent (5%) of their total budgets. The GAD </w:t>
      </w:r>
      <w:r w:rsidR="0084730C" w:rsidRPr="00824BC0">
        <w:rPr>
          <w:szCs w:val="24"/>
        </w:rPr>
        <w:t>F</w:t>
      </w:r>
      <w:r w:rsidRPr="00824BC0">
        <w:rPr>
          <w:szCs w:val="24"/>
        </w:rPr>
        <w:t xml:space="preserve">ocal </w:t>
      </w:r>
      <w:r w:rsidR="0084730C" w:rsidRPr="00824BC0">
        <w:rPr>
          <w:szCs w:val="24"/>
        </w:rPr>
        <w:t>P</w:t>
      </w:r>
      <w:r w:rsidRPr="00824BC0">
        <w:rPr>
          <w:szCs w:val="24"/>
        </w:rPr>
        <w:t xml:space="preserve">oint </w:t>
      </w:r>
      <w:r w:rsidR="0084730C" w:rsidRPr="00824BC0">
        <w:rPr>
          <w:szCs w:val="24"/>
        </w:rPr>
        <w:t>S</w:t>
      </w:r>
      <w:r w:rsidRPr="00824BC0">
        <w:rPr>
          <w:szCs w:val="24"/>
        </w:rPr>
        <w:t xml:space="preserve">ystem </w:t>
      </w:r>
      <w:r w:rsidR="0084730C" w:rsidRPr="00824BC0">
        <w:rPr>
          <w:szCs w:val="24"/>
        </w:rPr>
        <w:t xml:space="preserve">(GFPS) </w:t>
      </w:r>
      <w:r w:rsidRPr="00824BC0">
        <w:rPr>
          <w:szCs w:val="24"/>
        </w:rPr>
        <w:t xml:space="preserve">shall take the lead in the gender mainstreaming </w:t>
      </w:r>
      <w:r w:rsidR="00351E85">
        <w:rPr>
          <w:szCs w:val="24"/>
        </w:rPr>
        <w:t>of</w:t>
      </w:r>
      <w:r w:rsidRPr="00824BC0">
        <w:rPr>
          <w:szCs w:val="24"/>
        </w:rPr>
        <w:t xml:space="preserve"> the </w:t>
      </w:r>
      <w:r w:rsidR="00351E85">
        <w:rPr>
          <w:szCs w:val="24"/>
        </w:rPr>
        <w:t>A</w:t>
      </w:r>
      <w:r w:rsidRPr="00824BC0">
        <w:rPr>
          <w:szCs w:val="24"/>
        </w:rPr>
        <w:t>gency’s programs, activities, and projects (PAPs).</w:t>
      </w:r>
    </w:p>
    <w:p w14:paraId="104F4B82" w14:textId="77777777" w:rsidR="00A54FB3" w:rsidRPr="00824BC0" w:rsidRDefault="00A54FB3" w:rsidP="00A54FB3">
      <w:pPr>
        <w:pStyle w:val="ListParagraph"/>
        <w:rPr>
          <w:szCs w:val="24"/>
        </w:rPr>
      </w:pPr>
    </w:p>
    <w:p w14:paraId="4D107BA3" w14:textId="7B2B7D33" w:rsidR="00A54FB3" w:rsidRPr="00824BC0" w:rsidRDefault="00A54FB3" w:rsidP="00EE7908">
      <w:pPr>
        <w:pStyle w:val="ListParagraph"/>
        <w:numPr>
          <w:ilvl w:val="1"/>
          <w:numId w:val="5"/>
        </w:numPr>
        <w:ind w:left="0" w:firstLine="0"/>
        <w:jc w:val="both"/>
        <w:rPr>
          <w:szCs w:val="24"/>
        </w:rPr>
      </w:pPr>
      <w:r w:rsidRPr="00824BC0">
        <w:rPr>
          <w:szCs w:val="24"/>
        </w:rPr>
        <w:t>Meanwhile, P</w:t>
      </w:r>
      <w:r w:rsidR="0084730C" w:rsidRPr="00824BC0">
        <w:rPr>
          <w:szCs w:val="24"/>
        </w:rPr>
        <w:t xml:space="preserve">hilippine </w:t>
      </w:r>
      <w:r w:rsidRPr="00824BC0">
        <w:rPr>
          <w:szCs w:val="24"/>
        </w:rPr>
        <w:t>C</w:t>
      </w:r>
      <w:r w:rsidR="0084730C" w:rsidRPr="00824BC0">
        <w:rPr>
          <w:szCs w:val="24"/>
        </w:rPr>
        <w:t xml:space="preserve">ommission on </w:t>
      </w:r>
      <w:r w:rsidRPr="00824BC0">
        <w:rPr>
          <w:szCs w:val="24"/>
        </w:rPr>
        <w:t>W</w:t>
      </w:r>
      <w:r w:rsidR="0084730C" w:rsidRPr="00824BC0">
        <w:rPr>
          <w:szCs w:val="24"/>
        </w:rPr>
        <w:t>omen</w:t>
      </w:r>
      <w:r w:rsidRPr="00824BC0">
        <w:rPr>
          <w:szCs w:val="24"/>
        </w:rPr>
        <w:t>/N</w:t>
      </w:r>
      <w:r w:rsidR="0084730C" w:rsidRPr="00824BC0">
        <w:rPr>
          <w:szCs w:val="24"/>
        </w:rPr>
        <w:t xml:space="preserve">ational </w:t>
      </w:r>
      <w:r w:rsidRPr="00824BC0">
        <w:rPr>
          <w:szCs w:val="24"/>
        </w:rPr>
        <w:t>E</w:t>
      </w:r>
      <w:r w:rsidR="0084730C" w:rsidRPr="00824BC0">
        <w:rPr>
          <w:szCs w:val="24"/>
        </w:rPr>
        <w:t xml:space="preserve">conomic and </w:t>
      </w:r>
      <w:r w:rsidRPr="00824BC0">
        <w:rPr>
          <w:szCs w:val="24"/>
        </w:rPr>
        <w:t>D</w:t>
      </w:r>
      <w:r w:rsidR="0084730C" w:rsidRPr="00824BC0">
        <w:rPr>
          <w:szCs w:val="24"/>
        </w:rPr>
        <w:t xml:space="preserve">evelopment </w:t>
      </w:r>
      <w:r w:rsidRPr="00824BC0">
        <w:rPr>
          <w:szCs w:val="24"/>
        </w:rPr>
        <w:t>A</w:t>
      </w:r>
      <w:r w:rsidR="0084730C" w:rsidRPr="00824BC0">
        <w:rPr>
          <w:szCs w:val="24"/>
        </w:rPr>
        <w:t>uthority</w:t>
      </w:r>
      <w:r w:rsidRPr="00824BC0">
        <w:rPr>
          <w:szCs w:val="24"/>
        </w:rPr>
        <w:t>/D</w:t>
      </w:r>
      <w:r w:rsidR="0084730C" w:rsidRPr="00824BC0">
        <w:rPr>
          <w:szCs w:val="24"/>
        </w:rPr>
        <w:t xml:space="preserve">epartment of </w:t>
      </w:r>
      <w:r w:rsidRPr="00824BC0">
        <w:rPr>
          <w:szCs w:val="24"/>
        </w:rPr>
        <w:t>B</w:t>
      </w:r>
      <w:r w:rsidR="0084730C" w:rsidRPr="00824BC0">
        <w:rPr>
          <w:szCs w:val="24"/>
        </w:rPr>
        <w:t>udget and Management</w:t>
      </w:r>
      <w:r w:rsidRPr="00824BC0">
        <w:rPr>
          <w:szCs w:val="24"/>
        </w:rPr>
        <w:t xml:space="preserve"> </w:t>
      </w:r>
      <w:r w:rsidR="00351E85">
        <w:rPr>
          <w:szCs w:val="24"/>
        </w:rPr>
        <w:t xml:space="preserve">(PCW/NEDA/DBM) </w:t>
      </w:r>
      <w:r w:rsidRPr="00824BC0">
        <w:rPr>
          <w:szCs w:val="24"/>
        </w:rPr>
        <w:t xml:space="preserve">Joint Circular </w:t>
      </w:r>
      <w:r w:rsidR="0084730C" w:rsidRPr="00824BC0">
        <w:rPr>
          <w:szCs w:val="24"/>
        </w:rPr>
        <w:t xml:space="preserve">(JC) </w:t>
      </w:r>
      <w:r w:rsidRPr="00824BC0">
        <w:rPr>
          <w:szCs w:val="24"/>
        </w:rPr>
        <w:t>No. 2012-01 provides the mechanics for the development of PAPs to respect, protect, and fulfill the rights of women at the socio-cultural, economic and political spheres.</w:t>
      </w:r>
    </w:p>
    <w:p w14:paraId="0C640C03" w14:textId="77777777" w:rsidR="00A54FB3" w:rsidRPr="00824BC0" w:rsidRDefault="00A54FB3" w:rsidP="00A54FB3">
      <w:pPr>
        <w:pStyle w:val="Body"/>
        <w:jc w:val="both"/>
        <w:rPr>
          <w:rFonts w:cs="Times New Roman"/>
        </w:rPr>
      </w:pPr>
    </w:p>
    <w:p w14:paraId="752D82DD" w14:textId="18139B51" w:rsidR="00A54FB3" w:rsidRPr="00824BC0" w:rsidRDefault="0084730C" w:rsidP="00EE7908">
      <w:pPr>
        <w:pStyle w:val="ListParagraph"/>
        <w:numPr>
          <w:ilvl w:val="1"/>
          <w:numId w:val="5"/>
        </w:numPr>
        <w:ind w:left="0" w:firstLine="0"/>
        <w:jc w:val="both"/>
        <w:rPr>
          <w:szCs w:val="24"/>
        </w:rPr>
      </w:pPr>
      <w:r w:rsidRPr="00824BC0">
        <w:rPr>
          <w:szCs w:val="24"/>
        </w:rPr>
        <w:t>A perusal</w:t>
      </w:r>
      <w:r w:rsidR="00A54FB3" w:rsidRPr="00824BC0">
        <w:rPr>
          <w:szCs w:val="24"/>
        </w:rPr>
        <w:t xml:space="preserve"> of the CY 2021 GAD Plan and Budget (GPB) of the Bulacan Agricultural State College (BASC) showed that a sum of ₱16,591,870.00 was appropriated for P</w:t>
      </w:r>
      <w:r w:rsidR="00EE7908" w:rsidRPr="00824BC0">
        <w:rPr>
          <w:szCs w:val="24"/>
        </w:rPr>
        <w:t>A</w:t>
      </w:r>
      <w:r w:rsidR="004C4ADC" w:rsidRPr="00824BC0">
        <w:rPr>
          <w:szCs w:val="24"/>
        </w:rPr>
        <w:t>P</w:t>
      </w:r>
      <w:r w:rsidR="00A54FB3" w:rsidRPr="00824BC0">
        <w:rPr>
          <w:szCs w:val="24"/>
        </w:rPr>
        <w:t>s aimed at Gender and Development (GAD). This amount is equivalent to 7.35% of BASC’s total budget of ₱225,730,000.00</w:t>
      </w:r>
      <w:r w:rsidRPr="00824BC0">
        <w:rPr>
          <w:szCs w:val="24"/>
        </w:rPr>
        <w:t xml:space="preserve">, which </w:t>
      </w:r>
      <w:r w:rsidR="00A54FB3" w:rsidRPr="00824BC0">
        <w:rPr>
          <w:szCs w:val="24"/>
        </w:rPr>
        <w:t>is compliant with the minimum 5% of the total appropriations as required by law.  The budget was distributed to 28 PA</w:t>
      </w:r>
      <w:r w:rsidR="004C4ADC" w:rsidRPr="00824BC0">
        <w:rPr>
          <w:szCs w:val="24"/>
        </w:rPr>
        <w:t>P</w:t>
      </w:r>
      <w:r w:rsidR="00A54FB3" w:rsidRPr="00824BC0">
        <w:rPr>
          <w:szCs w:val="24"/>
        </w:rPr>
        <w:t>s and one project with cost attribution, as summarized below:</w:t>
      </w:r>
    </w:p>
    <w:p w14:paraId="6E0245D4" w14:textId="77777777" w:rsidR="00A54FB3" w:rsidRPr="00824BC0" w:rsidRDefault="00A54FB3" w:rsidP="00A54FB3">
      <w:pPr>
        <w:spacing w:after="0" w:line="240" w:lineRule="auto"/>
        <w:jc w:val="both"/>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4386"/>
        <w:gridCol w:w="1466"/>
        <w:gridCol w:w="2783"/>
      </w:tblGrid>
      <w:tr w:rsidR="00A54FB3" w:rsidRPr="00824BC0" w14:paraId="6A66672A" w14:textId="77777777" w:rsidTr="00100AFA">
        <w:trPr>
          <w:trHeight w:val="773"/>
          <w:tblHeader/>
        </w:trPr>
        <w:tc>
          <w:tcPr>
            <w:tcW w:w="4386" w:type="dxa"/>
            <w:vAlign w:val="center"/>
          </w:tcPr>
          <w:p w14:paraId="683DC56F" w14:textId="77777777" w:rsidR="00A54FB3" w:rsidRPr="00824BC0" w:rsidRDefault="00A54FB3" w:rsidP="00A54FB3">
            <w:pPr>
              <w:jc w:val="center"/>
              <w:rPr>
                <w:rFonts w:ascii="Times New Roman" w:hAnsi="Times New Roman" w:cs="Times New Roman"/>
                <w:b/>
                <w:bCs/>
                <w:sz w:val="24"/>
                <w:szCs w:val="24"/>
              </w:rPr>
            </w:pPr>
            <w:r w:rsidRPr="00824BC0">
              <w:rPr>
                <w:rFonts w:ascii="Times New Roman" w:hAnsi="Times New Roman" w:cs="Times New Roman"/>
                <w:b/>
                <w:bCs/>
                <w:sz w:val="24"/>
                <w:szCs w:val="24"/>
              </w:rPr>
              <w:lastRenderedPageBreak/>
              <w:t>GAD Activity</w:t>
            </w:r>
          </w:p>
        </w:tc>
        <w:tc>
          <w:tcPr>
            <w:tcW w:w="1466" w:type="dxa"/>
            <w:vAlign w:val="center"/>
          </w:tcPr>
          <w:p w14:paraId="24CC1110" w14:textId="5E37BD4A" w:rsidR="00A54FB3" w:rsidRPr="00824BC0" w:rsidRDefault="00A54FB3" w:rsidP="00A54FB3">
            <w:pPr>
              <w:jc w:val="center"/>
              <w:rPr>
                <w:rFonts w:ascii="Times New Roman" w:hAnsi="Times New Roman" w:cs="Times New Roman"/>
                <w:b/>
                <w:bCs/>
                <w:sz w:val="24"/>
                <w:szCs w:val="24"/>
              </w:rPr>
            </w:pPr>
            <w:r w:rsidRPr="00824BC0">
              <w:rPr>
                <w:rFonts w:ascii="Times New Roman" w:hAnsi="Times New Roman" w:cs="Times New Roman"/>
                <w:b/>
                <w:bCs/>
                <w:sz w:val="24"/>
                <w:szCs w:val="24"/>
              </w:rPr>
              <w:t>No. of PA</w:t>
            </w:r>
            <w:r w:rsidR="00C66595" w:rsidRPr="00824BC0">
              <w:rPr>
                <w:rFonts w:ascii="Times New Roman" w:hAnsi="Times New Roman" w:cs="Times New Roman"/>
                <w:b/>
                <w:bCs/>
                <w:sz w:val="24"/>
                <w:szCs w:val="24"/>
              </w:rPr>
              <w:t>P</w:t>
            </w:r>
            <w:r w:rsidRPr="00824BC0">
              <w:rPr>
                <w:rFonts w:ascii="Times New Roman" w:hAnsi="Times New Roman" w:cs="Times New Roman"/>
                <w:b/>
                <w:bCs/>
                <w:sz w:val="24"/>
                <w:szCs w:val="24"/>
              </w:rPr>
              <w:t>s</w:t>
            </w:r>
          </w:p>
        </w:tc>
        <w:tc>
          <w:tcPr>
            <w:tcW w:w="2783" w:type="dxa"/>
            <w:vAlign w:val="center"/>
          </w:tcPr>
          <w:p w14:paraId="43B74F34" w14:textId="77777777" w:rsidR="00A54FB3" w:rsidRPr="00824BC0" w:rsidRDefault="00A54FB3" w:rsidP="00A54FB3">
            <w:pPr>
              <w:jc w:val="center"/>
              <w:rPr>
                <w:rFonts w:ascii="Times New Roman" w:hAnsi="Times New Roman" w:cs="Times New Roman"/>
                <w:b/>
                <w:bCs/>
                <w:sz w:val="24"/>
                <w:szCs w:val="24"/>
              </w:rPr>
            </w:pPr>
            <w:r w:rsidRPr="00824BC0">
              <w:rPr>
                <w:rFonts w:ascii="Times New Roman" w:hAnsi="Times New Roman" w:cs="Times New Roman"/>
                <w:b/>
                <w:bCs/>
                <w:sz w:val="24"/>
                <w:szCs w:val="24"/>
              </w:rPr>
              <w:t>Agency Approved Budget</w:t>
            </w:r>
          </w:p>
        </w:tc>
      </w:tr>
      <w:tr w:rsidR="00A54FB3" w:rsidRPr="00824BC0" w14:paraId="5D7E5940" w14:textId="77777777" w:rsidTr="00EE7908">
        <w:tc>
          <w:tcPr>
            <w:tcW w:w="4386" w:type="dxa"/>
          </w:tcPr>
          <w:p w14:paraId="759097F6" w14:textId="77777777" w:rsidR="00A54FB3" w:rsidRPr="00824BC0" w:rsidRDefault="00A54FB3" w:rsidP="00A54FB3">
            <w:pPr>
              <w:jc w:val="both"/>
              <w:rPr>
                <w:rFonts w:ascii="Times New Roman" w:hAnsi="Times New Roman" w:cs="Times New Roman"/>
                <w:sz w:val="24"/>
                <w:szCs w:val="24"/>
              </w:rPr>
            </w:pPr>
            <w:r w:rsidRPr="00824BC0">
              <w:rPr>
                <w:rFonts w:ascii="Times New Roman" w:hAnsi="Times New Roman" w:cs="Times New Roman"/>
                <w:sz w:val="24"/>
                <w:szCs w:val="24"/>
              </w:rPr>
              <w:t>Client-focused Activities</w:t>
            </w:r>
          </w:p>
        </w:tc>
        <w:tc>
          <w:tcPr>
            <w:tcW w:w="1466" w:type="dxa"/>
          </w:tcPr>
          <w:p w14:paraId="4722B32D" w14:textId="77777777" w:rsidR="00A54FB3" w:rsidRPr="00824BC0" w:rsidRDefault="00A54FB3" w:rsidP="00A54FB3">
            <w:pPr>
              <w:jc w:val="center"/>
              <w:rPr>
                <w:rFonts w:ascii="Times New Roman" w:hAnsi="Times New Roman" w:cs="Times New Roman"/>
                <w:sz w:val="24"/>
                <w:szCs w:val="24"/>
              </w:rPr>
            </w:pPr>
            <w:r w:rsidRPr="00824BC0">
              <w:rPr>
                <w:rFonts w:ascii="Times New Roman" w:hAnsi="Times New Roman" w:cs="Times New Roman"/>
                <w:sz w:val="24"/>
                <w:szCs w:val="24"/>
              </w:rPr>
              <w:t>11</w:t>
            </w:r>
          </w:p>
        </w:tc>
        <w:tc>
          <w:tcPr>
            <w:tcW w:w="2783" w:type="dxa"/>
          </w:tcPr>
          <w:p w14:paraId="1940941A" w14:textId="77777777" w:rsidR="00A54FB3" w:rsidRPr="00824BC0" w:rsidRDefault="00A54FB3" w:rsidP="00A54FB3">
            <w:pPr>
              <w:jc w:val="right"/>
              <w:rPr>
                <w:rFonts w:ascii="Times New Roman" w:hAnsi="Times New Roman" w:cs="Times New Roman"/>
                <w:sz w:val="24"/>
                <w:szCs w:val="24"/>
              </w:rPr>
            </w:pPr>
            <w:r w:rsidRPr="00824BC0">
              <w:rPr>
                <w:rFonts w:ascii="Times New Roman" w:hAnsi="Times New Roman" w:cs="Times New Roman"/>
                <w:sz w:val="24"/>
                <w:szCs w:val="24"/>
              </w:rPr>
              <w:t>₱         627,370.00</w:t>
            </w:r>
          </w:p>
        </w:tc>
      </w:tr>
      <w:tr w:rsidR="00A54FB3" w:rsidRPr="00824BC0" w14:paraId="3A97E64A" w14:textId="77777777" w:rsidTr="00EE7908">
        <w:tc>
          <w:tcPr>
            <w:tcW w:w="4386" w:type="dxa"/>
          </w:tcPr>
          <w:p w14:paraId="5332C1BE" w14:textId="77777777" w:rsidR="00A54FB3" w:rsidRPr="00824BC0" w:rsidRDefault="00A54FB3" w:rsidP="00A54FB3">
            <w:pPr>
              <w:jc w:val="both"/>
              <w:rPr>
                <w:rFonts w:ascii="Times New Roman" w:hAnsi="Times New Roman" w:cs="Times New Roman"/>
                <w:sz w:val="24"/>
                <w:szCs w:val="24"/>
              </w:rPr>
            </w:pPr>
            <w:r w:rsidRPr="00824BC0">
              <w:rPr>
                <w:rFonts w:ascii="Times New Roman" w:hAnsi="Times New Roman" w:cs="Times New Roman"/>
                <w:sz w:val="24"/>
                <w:szCs w:val="24"/>
              </w:rPr>
              <w:t>Organization-focused Activities</w:t>
            </w:r>
          </w:p>
        </w:tc>
        <w:tc>
          <w:tcPr>
            <w:tcW w:w="1466" w:type="dxa"/>
          </w:tcPr>
          <w:p w14:paraId="5D3F7987" w14:textId="77777777" w:rsidR="00A54FB3" w:rsidRPr="00824BC0" w:rsidRDefault="00A54FB3" w:rsidP="00A54FB3">
            <w:pPr>
              <w:jc w:val="center"/>
              <w:rPr>
                <w:rFonts w:ascii="Times New Roman" w:hAnsi="Times New Roman" w:cs="Times New Roman"/>
                <w:sz w:val="24"/>
                <w:szCs w:val="24"/>
              </w:rPr>
            </w:pPr>
            <w:r w:rsidRPr="00824BC0">
              <w:rPr>
                <w:rFonts w:ascii="Times New Roman" w:hAnsi="Times New Roman" w:cs="Times New Roman"/>
                <w:sz w:val="24"/>
                <w:szCs w:val="24"/>
              </w:rPr>
              <w:t>17</w:t>
            </w:r>
          </w:p>
        </w:tc>
        <w:tc>
          <w:tcPr>
            <w:tcW w:w="2783" w:type="dxa"/>
          </w:tcPr>
          <w:p w14:paraId="67261246" w14:textId="77777777" w:rsidR="00A54FB3" w:rsidRPr="00824BC0" w:rsidRDefault="00A54FB3" w:rsidP="00A54FB3">
            <w:pPr>
              <w:jc w:val="right"/>
              <w:rPr>
                <w:rFonts w:ascii="Times New Roman" w:hAnsi="Times New Roman" w:cs="Times New Roman"/>
                <w:sz w:val="24"/>
                <w:szCs w:val="24"/>
              </w:rPr>
            </w:pPr>
            <w:r w:rsidRPr="00824BC0">
              <w:rPr>
                <w:rFonts w:ascii="Times New Roman" w:hAnsi="Times New Roman" w:cs="Times New Roman"/>
                <w:sz w:val="24"/>
                <w:szCs w:val="24"/>
              </w:rPr>
              <w:t>792,000.00</w:t>
            </w:r>
          </w:p>
        </w:tc>
      </w:tr>
      <w:tr w:rsidR="00A54FB3" w:rsidRPr="00824BC0" w14:paraId="5945CF38" w14:textId="77777777" w:rsidTr="00EE7908">
        <w:tc>
          <w:tcPr>
            <w:tcW w:w="4386" w:type="dxa"/>
          </w:tcPr>
          <w:p w14:paraId="706A7D12" w14:textId="77777777" w:rsidR="00A54FB3" w:rsidRPr="00824BC0" w:rsidRDefault="00A54FB3" w:rsidP="00A54FB3">
            <w:pPr>
              <w:jc w:val="both"/>
              <w:rPr>
                <w:rFonts w:ascii="Times New Roman" w:hAnsi="Times New Roman" w:cs="Times New Roman"/>
                <w:sz w:val="24"/>
                <w:szCs w:val="24"/>
              </w:rPr>
            </w:pPr>
            <w:r w:rsidRPr="00824BC0">
              <w:rPr>
                <w:rFonts w:ascii="Times New Roman" w:hAnsi="Times New Roman" w:cs="Times New Roman"/>
                <w:sz w:val="24"/>
                <w:szCs w:val="24"/>
              </w:rPr>
              <w:t xml:space="preserve">Infrastructure Project – Attributed Program </w:t>
            </w:r>
          </w:p>
          <w:p w14:paraId="404D13B9" w14:textId="77777777" w:rsidR="00A54FB3" w:rsidRPr="00824BC0" w:rsidRDefault="00A54FB3" w:rsidP="00A54FB3">
            <w:pPr>
              <w:pStyle w:val="ListParagraph"/>
              <w:numPr>
                <w:ilvl w:val="0"/>
                <w:numId w:val="11"/>
              </w:numPr>
              <w:ind w:left="345"/>
              <w:jc w:val="both"/>
              <w:rPr>
                <w:szCs w:val="24"/>
              </w:rPr>
            </w:pPr>
            <w:r w:rsidRPr="00824BC0">
              <w:rPr>
                <w:szCs w:val="24"/>
              </w:rPr>
              <w:t>Rehabilitation of Registrar's Office and Office of Student Affairs</w:t>
            </w:r>
          </w:p>
        </w:tc>
        <w:tc>
          <w:tcPr>
            <w:tcW w:w="1466" w:type="dxa"/>
            <w:tcBorders>
              <w:bottom w:val="single" w:sz="4" w:space="0" w:color="auto"/>
            </w:tcBorders>
          </w:tcPr>
          <w:p w14:paraId="67FA8788" w14:textId="77777777" w:rsidR="00A54FB3" w:rsidRPr="00824BC0" w:rsidRDefault="00A54FB3" w:rsidP="00A54FB3">
            <w:pPr>
              <w:jc w:val="center"/>
              <w:rPr>
                <w:rFonts w:ascii="Times New Roman" w:hAnsi="Times New Roman" w:cs="Times New Roman"/>
                <w:sz w:val="24"/>
                <w:szCs w:val="24"/>
              </w:rPr>
            </w:pPr>
          </w:p>
          <w:p w14:paraId="112E58C1" w14:textId="77777777" w:rsidR="00A54FB3" w:rsidRPr="00824BC0" w:rsidRDefault="00A54FB3" w:rsidP="00A54FB3">
            <w:pPr>
              <w:jc w:val="center"/>
              <w:rPr>
                <w:rFonts w:ascii="Times New Roman" w:hAnsi="Times New Roman" w:cs="Times New Roman"/>
                <w:sz w:val="24"/>
                <w:szCs w:val="24"/>
              </w:rPr>
            </w:pPr>
          </w:p>
          <w:p w14:paraId="3A0FB09E" w14:textId="77777777" w:rsidR="00A54FB3" w:rsidRPr="00824BC0" w:rsidRDefault="00A54FB3" w:rsidP="00A54FB3">
            <w:pPr>
              <w:jc w:val="center"/>
              <w:rPr>
                <w:rFonts w:ascii="Times New Roman" w:hAnsi="Times New Roman" w:cs="Times New Roman"/>
                <w:sz w:val="24"/>
                <w:szCs w:val="24"/>
              </w:rPr>
            </w:pPr>
            <w:r w:rsidRPr="00824BC0">
              <w:rPr>
                <w:rFonts w:ascii="Times New Roman" w:hAnsi="Times New Roman" w:cs="Times New Roman"/>
                <w:sz w:val="24"/>
                <w:szCs w:val="24"/>
              </w:rPr>
              <w:t xml:space="preserve">  1</w:t>
            </w:r>
          </w:p>
        </w:tc>
        <w:tc>
          <w:tcPr>
            <w:tcW w:w="2783" w:type="dxa"/>
            <w:tcBorders>
              <w:bottom w:val="single" w:sz="4" w:space="0" w:color="auto"/>
            </w:tcBorders>
          </w:tcPr>
          <w:p w14:paraId="06F76256" w14:textId="77777777" w:rsidR="00A54FB3" w:rsidRPr="00824BC0" w:rsidRDefault="00A54FB3" w:rsidP="00A54FB3">
            <w:pPr>
              <w:jc w:val="right"/>
              <w:rPr>
                <w:rFonts w:ascii="Times New Roman" w:hAnsi="Times New Roman" w:cs="Times New Roman"/>
                <w:sz w:val="24"/>
                <w:szCs w:val="24"/>
              </w:rPr>
            </w:pPr>
          </w:p>
          <w:p w14:paraId="5B8434EA" w14:textId="77777777" w:rsidR="00A54FB3" w:rsidRPr="00824BC0" w:rsidRDefault="00A54FB3" w:rsidP="00A54FB3">
            <w:pPr>
              <w:jc w:val="right"/>
              <w:rPr>
                <w:rFonts w:ascii="Times New Roman" w:hAnsi="Times New Roman" w:cs="Times New Roman"/>
                <w:sz w:val="24"/>
                <w:szCs w:val="24"/>
              </w:rPr>
            </w:pPr>
          </w:p>
          <w:p w14:paraId="79EECD45" w14:textId="77777777" w:rsidR="00A54FB3" w:rsidRPr="00824BC0" w:rsidRDefault="00A54FB3" w:rsidP="00A54FB3">
            <w:pPr>
              <w:jc w:val="right"/>
              <w:rPr>
                <w:rFonts w:ascii="Times New Roman" w:hAnsi="Times New Roman" w:cs="Times New Roman"/>
                <w:sz w:val="24"/>
                <w:szCs w:val="24"/>
              </w:rPr>
            </w:pPr>
            <w:r w:rsidRPr="00824BC0">
              <w:rPr>
                <w:rFonts w:ascii="Times New Roman" w:hAnsi="Times New Roman" w:cs="Times New Roman"/>
                <w:sz w:val="24"/>
                <w:szCs w:val="24"/>
              </w:rPr>
              <w:t>15,172,500.00</w:t>
            </w:r>
          </w:p>
        </w:tc>
      </w:tr>
      <w:tr w:rsidR="00A54FB3" w:rsidRPr="00824BC0" w14:paraId="62BFA311" w14:textId="77777777" w:rsidTr="00EE7908">
        <w:tc>
          <w:tcPr>
            <w:tcW w:w="4386" w:type="dxa"/>
          </w:tcPr>
          <w:p w14:paraId="662B7A9F" w14:textId="77777777" w:rsidR="00A54FB3" w:rsidRPr="00824BC0" w:rsidRDefault="00A54FB3" w:rsidP="00A54FB3">
            <w:pPr>
              <w:jc w:val="center"/>
              <w:rPr>
                <w:rFonts w:ascii="Times New Roman" w:hAnsi="Times New Roman" w:cs="Times New Roman"/>
                <w:b/>
                <w:bCs/>
                <w:sz w:val="24"/>
                <w:szCs w:val="24"/>
              </w:rPr>
            </w:pPr>
            <w:r w:rsidRPr="00824BC0">
              <w:rPr>
                <w:rFonts w:ascii="Times New Roman" w:hAnsi="Times New Roman" w:cs="Times New Roman"/>
                <w:b/>
                <w:bCs/>
                <w:sz w:val="24"/>
                <w:szCs w:val="24"/>
              </w:rPr>
              <w:t>TOTAL</w:t>
            </w:r>
          </w:p>
        </w:tc>
        <w:tc>
          <w:tcPr>
            <w:tcW w:w="1466" w:type="dxa"/>
            <w:tcBorders>
              <w:bottom w:val="double" w:sz="4" w:space="0" w:color="auto"/>
            </w:tcBorders>
          </w:tcPr>
          <w:p w14:paraId="2D0C1974" w14:textId="77777777" w:rsidR="00A54FB3" w:rsidRPr="00824BC0" w:rsidRDefault="00A54FB3" w:rsidP="00A54FB3">
            <w:pPr>
              <w:jc w:val="center"/>
              <w:rPr>
                <w:rFonts w:ascii="Times New Roman" w:hAnsi="Times New Roman" w:cs="Times New Roman"/>
                <w:b/>
                <w:bCs/>
                <w:sz w:val="24"/>
                <w:szCs w:val="24"/>
              </w:rPr>
            </w:pPr>
            <w:r w:rsidRPr="00824BC0">
              <w:rPr>
                <w:rFonts w:ascii="Times New Roman" w:hAnsi="Times New Roman" w:cs="Times New Roman"/>
                <w:b/>
                <w:bCs/>
                <w:sz w:val="24"/>
                <w:szCs w:val="24"/>
              </w:rPr>
              <w:t>29</w:t>
            </w:r>
          </w:p>
        </w:tc>
        <w:tc>
          <w:tcPr>
            <w:tcW w:w="2783" w:type="dxa"/>
            <w:tcBorders>
              <w:bottom w:val="double" w:sz="4" w:space="0" w:color="auto"/>
            </w:tcBorders>
          </w:tcPr>
          <w:p w14:paraId="44393C00" w14:textId="77777777" w:rsidR="00A54FB3" w:rsidRPr="00824BC0" w:rsidRDefault="00A54FB3" w:rsidP="00A54FB3">
            <w:pPr>
              <w:jc w:val="right"/>
              <w:rPr>
                <w:rFonts w:ascii="Times New Roman" w:hAnsi="Times New Roman" w:cs="Times New Roman"/>
                <w:b/>
                <w:bCs/>
                <w:sz w:val="24"/>
                <w:szCs w:val="24"/>
              </w:rPr>
            </w:pPr>
            <w:r w:rsidRPr="00824BC0">
              <w:rPr>
                <w:rFonts w:ascii="Times New Roman" w:hAnsi="Times New Roman" w:cs="Times New Roman"/>
                <w:b/>
                <w:bCs/>
                <w:sz w:val="24"/>
                <w:szCs w:val="24"/>
              </w:rPr>
              <w:t>₱    16,591,870.00</w:t>
            </w:r>
          </w:p>
        </w:tc>
      </w:tr>
    </w:tbl>
    <w:p w14:paraId="6CDF9F8F" w14:textId="77777777" w:rsidR="00A54FB3" w:rsidRPr="00824BC0" w:rsidRDefault="00A54FB3" w:rsidP="00A54FB3">
      <w:pPr>
        <w:spacing w:after="0" w:line="240" w:lineRule="auto"/>
        <w:jc w:val="both"/>
        <w:rPr>
          <w:rFonts w:ascii="Times New Roman" w:hAnsi="Times New Roman" w:cs="Times New Roman"/>
          <w:sz w:val="24"/>
          <w:szCs w:val="24"/>
        </w:rPr>
      </w:pPr>
    </w:p>
    <w:p w14:paraId="59F92FBA" w14:textId="4C30FD46" w:rsidR="00A54FB3" w:rsidRPr="00824BC0" w:rsidRDefault="00A54FB3" w:rsidP="00EE7908">
      <w:pPr>
        <w:pStyle w:val="ListParagraph"/>
        <w:numPr>
          <w:ilvl w:val="1"/>
          <w:numId w:val="5"/>
        </w:numPr>
        <w:ind w:left="0" w:firstLine="0"/>
        <w:jc w:val="both"/>
        <w:rPr>
          <w:szCs w:val="24"/>
        </w:rPr>
      </w:pPr>
      <w:r w:rsidRPr="00824BC0">
        <w:rPr>
          <w:szCs w:val="24"/>
        </w:rPr>
        <w:t>Review of the Annual GAD Accomplishment Report (AR) for CY 2021 disclosed that the total actual expenditures attributed to GAD for the year was way above the total budget by 179.02%, summed up as follows:</w:t>
      </w:r>
    </w:p>
    <w:p w14:paraId="505101D7" w14:textId="77777777" w:rsidR="0050514F" w:rsidRPr="00824BC0" w:rsidRDefault="0050514F" w:rsidP="00A54FB3">
      <w:pPr>
        <w:spacing w:after="0" w:line="240" w:lineRule="auto"/>
        <w:jc w:val="both"/>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4386"/>
        <w:gridCol w:w="1466"/>
        <w:gridCol w:w="2783"/>
      </w:tblGrid>
      <w:tr w:rsidR="00A54FB3" w:rsidRPr="00824BC0" w14:paraId="191222E4" w14:textId="77777777" w:rsidTr="00EE7908">
        <w:tc>
          <w:tcPr>
            <w:tcW w:w="4386" w:type="dxa"/>
          </w:tcPr>
          <w:p w14:paraId="33A51393" w14:textId="77777777" w:rsidR="00A54FB3" w:rsidRPr="00824BC0" w:rsidRDefault="00A54FB3" w:rsidP="00A54FB3">
            <w:pPr>
              <w:jc w:val="center"/>
              <w:rPr>
                <w:rFonts w:ascii="Times New Roman" w:hAnsi="Times New Roman" w:cs="Times New Roman"/>
                <w:b/>
                <w:bCs/>
                <w:sz w:val="24"/>
                <w:szCs w:val="24"/>
              </w:rPr>
            </w:pPr>
            <w:r w:rsidRPr="00824BC0">
              <w:rPr>
                <w:rFonts w:ascii="Times New Roman" w:hAnsi="Times New Roman" w:cs="Times New Roman"/>
                <w:b/>
                <w:bCs/>
                <w:sz w:val="24"/>
                <w:szCs w:val="24"/>
              </w:rPr>
              <w:t>GAD Activity</w:t>
            </w:r>
          </w:p>
        </w:tc>
        <w:tc>
          <w:tcPr>
            <w:tcW w:w="1466" w:type="dxa"/>
          </w:tcPr>
          <w:p w14:paraId="5EECB582" w14:textId="4B9C8B11" w:rsidR="00A54FB3" w:rsidRPr="00824BC0" w:rsidRDefault="00A54FB3" w:rsidP="00A54FB3">
            <w:pPr>
              <w:jc w:val="center"/>
              <w:rPr>
                <w:rFonts w:ascii="Times New Roman" w:hAnsi="Times New Roman" w:cs="Times New Roman"/>
                <w:b/>
                <w:bCs/>
                <w:sz w:val="24"/>
                <w:szCs w:val="24"/>
              </w:rPr>
            </w:pPr>
            <w:r w:rsidRPr="00824BC0">
              <w:rPr>
                <w:rFonts w:ascii="Times New Roman" w:hAnsi="Times New Roman" w:cs="Times New Roman"/>
                <w:b/>
                <w:bCs/>
                <w:sz w:val="24"/>
                <w:szCs w:val="24"/>
              </w:rPr>
              <w:t>No. of PA</w:t>
            </w:r>
            <w:r w:rsidR="00C66595" w:rsidRPr="00824BC0">
              <w:rPr>
                <w:rFonts w:ascii="Times New Roman" w:hAnsi="Times New Roman" w:cs="Times New Roman"/>
                <w:b/>
                <w:bCs/>
                <w:sz w:val="24"/>
                <w:szCs w:val="24"/>
              </w:rPr>
              <w:t>P</w:t>
            </w:r>
            <w:r w:rsidRPr="00824BC0">
              <w:rPr>
                <w:rFonts w:ascii="Times New Roman" w:hAnsi="Times New Roman" w:cs="Times New Roman"/>
                <w:b/>
                <w:bCs/>
                <w:sz w:val="24"/>
                <w:szCs w:val="24"/>
              </w:rPr>
              <w:t>s</w:t>
            </w:r>
          </w:p>
        </w:tc>
        <w:tc>
          <w:tcPr>
            <w:tcW w:w="2783" w:type="dxa"/>
          </w:tcPr>
          <w:p w14:paraId="39FC2487" w14:textId="77777777" w:rsidR="00A54FB3" w:rsidRPr="00824BC0" w:rsidRDefault="00A54FB3" w:rsidP="00A54FB3">
            <w:pPr>
              <w:jc w:val="center"/>
              <w:rPr>
                <w:rFonts w:ascii="Times New Roman" w:hAnsi="Times New Roman" w:cs="Times New Roman"/>
                <w:b/>
                <w:bCs/>
                <w:sz w:val="24"/>
                <w:szCs w:val="24"/>
              </w:rPr>
            </w:pPr>
            <w:r w:rsidRPr="00824BC0">
              <w:rPr>
                <w:rFonts w:ascii="Times New Roman" w:hAnsi="Times New Roman" w:cs="Times New Roman"/>
                <w:b/>
                <w:bCs/>
                <w:sz w:val="24"/>
                <w:szCs w:val="24"/>
              </w:rPr>
              <w:t>Actual Expenditures</w:t>
            </w:r>
          </w:p>
        </w:tc>
      </w:tr>
      <w:tr w:rsidR="00A54FB3" w:rsidRPr="00824BC0" w14:paraId="11974FB0" w14:textId="77777777" w:rsidTr="00EE7908">
        <w:tc>
          <w:tcPr>
            <w:tcW w:w="4386" w:type="dxa"/>
          </w:tcPr>
          <w:p w14:paraId="67D1421E" w14:textId="77777777" w:rsidR="00A54FB3" w:rsidRPr="00824BC0" w:rsidRDefault="00A54FB3" w:rsidP="00A54FB3">
            <w:pPr>
              <w:jc w:val="both"/>
              <w:rPr>
                <w:rFonts w:ascii="Times New Roman" w:hAnsi="Times New Roman" w:cs="Times New Roman"/>
                <w:sz w:val="24"/>
                <w:szCs w:val="24"/>
              </w:rPr>
            </w:pPr>
            <w:r w:rsidRPr="00824BC0">
              <w:rPr>
                <w:rFonts w:ascii="Times New Roman" w:hAnsi="Times New Roman" w:cs="Times New Roman"/>
                <w:sz w:val="24"/>
                <w:szCs w:val="24"/>
              </w:rPr>
              <w:t>Client-focused Activities</w:t>
            </w:r>
          </w:p>
        </w:tc>
        <w:tc>
          <w:tcPr>
            <w:tcW w:w="1466" w:type="dxa"/>
          </w:tcPr>
          <w:p w14:paraId="61E26910" w14:textId="77777777" w:rsidR="00A54FB3" w:rsidRPr="00824BC0" w:rsidRDefault="00A54FB3" w:rsidP="00A54FB3">
            <w:pPr>
              <w:jc w:val="center"/>
              <w:rPr>
                <w:rFonts w:ascii="Times New Roman" w:hAnsi="Times New Roman" w:cs="Times New Roman"/>
                <w:sz w:val="24"/>
                <w:szCs w:val="24"/>
              </w:rPr>
            </w:pPr>
            <w:r w:rsidRPr="00824BC0">
              <w:rPr>
                <w:rFonts w:ascii="Times New Roman" w:hAnsi="Times New Roman" w:cs="Times New Roman"/>
                <w:sz w:val="24"/>
                <w:szCs w:val="24"/>
              </w:rPr>
              <w:t>11</w:t>
            </w:r>
          </w:p>
        </w:tc>
        <w:tc>
          <w:tcPr>
            <w:tcW w:w="2783" w:type="dxa"/>
          </w:tcPr>
          <w:p w14:paraId="45E587CB" w14:textId="77777777" w:rsidR="00A54FB3" w:rsidRPr="00824BC0" w:rsidRDefault="00A54FB3" w:rsidP="00A54FB3">
            <w:pPr>
              <w:jc w:val="right"/>
              <w:rPr>
                <w:rFonts w:ascii="Times New Roman" w:hAnsi="Times New Roman" w:cs="Times New Roman"/>
                <w:sz w:val="24"/>
                <w:szCs w:val="24"/>
              </w:rPr>
            </w:pPr>
            <w:r w:rsidRPr="00824BC0">
              <w:rPr>
                <w:rFonts w:ascii="Times New Roman" w:hAnsi="Times New Roman" w:cs="Times New Roman"/>
                <w:sz w:val="24"/>
                <w:szCs w:val="24"/>
              </w:rPr>
              <w:t>₱          415,305.20</w:t>
            </w:r>
          </w:p>
        </w:tc>
      </w:tr>
      <w:tr w:rsidR="00A54FB3" w:rsidRPr="00824BC0" w14:paraId="7C823A99" w14:textId="77777777" w:rsidTr="00EE7908">
        <w:tc>
          <w:tcPr>
            <w:tcW w:w="4386" w:type="dxa"/>
          </w:tcPr>
          <w:p w14:paraId="74D8DDB7" w14:textId="77777777" w:rsidR="00A54FB3" w:rsidRPr="00824BC0" w:rsidRDefault="00A54FB3" w:rsidP="00A54FB3">
            <w:pPr>
              <w:jc w:val="both"/>
              <w:rPr>
                <w:rFonts w:ascii="Times New Roman" w:hAnsi="Times New Roman" w:cs="Times New Roman"/>
                <w:sz w:val="24"/>
                <w:szCs w:val="24"/>
              </w:rPr>
            </w:pPr>
            <w:r w:rsidRPr="00824BC0">
              <w:rPr>
                <w:rFonts w:ascii="Times New Roman" w:hAnsi="Times New Roman" w:cs="Times New Roman"/>
                <w:sz w:val="24"/>
                <w:szCs w:val="24"/>
              </w:rPr>
              <w:t>Organization-focused Activities</w:t>
            </w:r>
          </w:p>
        </w:tc>
        <w:tc>
          <w:tcPr>
            <w:tcW w:w="1466" w:type="dxa"/>
          </w:tcPr>
          <w:p w14:paraId="3EBE99F6" w14:textId="77777777" w:rsidR="00A54FB3" w:rsidRPr="00824BC0" w:rsidRDefault="00A54FB3" w:rsidP="00A54FB3">
            <w:pPr>
              <w:jc w:val="center"/>
              <w:rPr>
                <w:rFonts w:ascii="Times New Roman" w:hAnsi="Times New Roman" w:cs="Times New Roman"/>
                <w:sz w:val="24"/>
                <w:szCs w:val="24"/>
              </w:rPr>
            </w:pPr>
            <w:r w:rsidRPr="00824BC0">
              <w:rPr>
                <w:rFonts w:ascii="Times New Roman" w:hAnsi="Times New Roman" w:cs="Times New Roman"/>
                <w:sz w:val="24"/>
                <w:szCs w:val="24"/>
              </w:rPr>
              <w:t>17</w:t>
            </w:r>
          </w:p>
        </w:tc>
        <w:tc>
          <w:tcPr>
            <w:tcW w:w="2783" w:type="dxa"/>
          </w:tcPr>
          <w:p w14:paraId="31253C2C" w14:textId="77777777" w:rsidR="00A54FB3" w:rsidRPr="00824BC0" w:rsidRDefault="00A54FB3" w:rsidP="00A54FB3">
            <w:pPr>
              <w:jc w:val="right"/>
              <w:rPr>
                <w:rFonts w:ascii="Times New Roman" w:hAnsi="Times New Roman" w:cs="Times New Roman"/>
                <w:sz w:val="24"/>
                <w:szCs w:val="24"/>
              </w:rPr>
            </w:pPr>
            <w:r w:rsidRPr="00824BC0">
              <w:rPr>
                <w:rFonts w:ascii="Times New Roman" w:hAnsi="Times New Roman" w:cs="Times New Roman"/>
                <w:sz w:val="24"/>
                <w:szCs w:val="24"/>
              </w:rPr>
              <w:t>6,975,713.36</w:t>
            </w:r>
          </w:p>
        </w:tc>
      </w:tr>
      <w:tr w:rsidR="00A54FB3" w:rsidRPr="00824BC0" w14:paraId="25ADA700" w14:textId="77777777" w:rsidTr="00EE7908">
        <w:tc>
          <w:tcPr>
            <w:tcW w:w="4386" w:type="dxa"/>
          </w:tcPr>
          <w:p w14:paraId="2B0EFEE3" w14:textId="77777777" w:rsidR="00A54FB3" w:rsidRPr="00824BC0" w:rsidRDefault="00A54FB3" w:rsidP="00A54FB3">
            <w:pPr>
              <w:jc w:val="both"/>
              <w:rPr>
                <w:rFonts w:ascii="Times New Roman" w:hAnsi="Times New Roman" w:cs="Times New Roman"/>
                <w:sz w:val="24"/>
                <w:szCs w:val="24"/>
              </w:rPr>
            </w:pPr>
            <w:r w:rsidRPr="00824BC0">
              <w:rPr>
                <w:rFonts w:ascii="Times New Roman" w:hAnsi="Times New Roman" w:cs="Times New Roman"/>
                <w:sz w:val="24"/>
                <w:szCs w:val="24"/>
              </w:rPr>
              <w:t>Infrastructure Project – Attributed Program</w:t>
            </w:r>
          </w:p>
          <w:p w14:paraId="79551551" w14:textId="77777777" w:rsidR="00A54FB3" w:rsidRPr="00824BC0" w:rsidRDefault="00A54FB3" w:rsidP="00A54FB3">
            <w:pPr>
              <w:pStyle w:val="ListParagraph"/>
              <w:numPr>
                <w:ilvl w:val="0"/>
                <w:numId w:val="11"/>
              </w:numPr>
              <w:ind w:left="345"/>
              <w:jc w:val="both"/>
              <w:rPr>
                <w:szCs w:val="24"/>
              </w:rPr>
            </w:pPr>
            <w:r w:rsidRPr="00824BC0">
              <w:rPr>
                <w:szCs w:val="24"/>
              </w:rPr>
              <w:t>Rehabilitation of Registrar's Office and Office of Student Affairs</w:t>
            </w:r>
          </w:p>
        </w:tc>
        <w:tc>
          <w:tcPr>
            <w:tcW w:w="1466" w:type="dxa"/>
            <w:tcBorders>
              <w:bottom w:val="single" w:sz="4" w:space="0" w:color="auto"/>
            </w:tcBorders>
          </w:tcPr>
          <w:p w14:paraId="501FAFDF" w14:textId="77777777" w:rsidR="00A54FB3" w:rsidRPr="00824BC0" w:rsidRDefault="00A54FB3" w:rsidP="00A54FB3">
            <w:pPr>
              <w:jc w:val="center"/>
              <w:rPr>
                <w:rFonts w:ascii="Times New Roman" w:hAnsi="Times New Roman" w:cs="Times New Roman"/>
                <w:sz w:val="24"/>
                <w:szCs w:val="24"/>
              </w:rPr>
            </w:pPr>
            <w:r w:rsidRPr="00824BC0">
              <w:rPr>
                <w:rFonts w:ascii="Times New Roman" w:hAnsi="Times New Roman" w:cs="Times New Roman"/>
                <w:sz w:val="24"/>
                <w:szCs w:val="24"/>
              </w:rPr>
              <w:t xml:space="preserve">  </w:t>
            </w:r>
          </w:p>
          <w:p w14:paraId="6AAAEA22" w14:textId="77777777" w:rsidR="00A54FB3" w:rsidRPr="00824BC0" w:rsidRDefault="00A54FB3" w:rsidP="00A54FB3">
            <w:pPr>
              <w:jc w:val="center"/>
              <w:rPr>
                <w:rFonts w:ascii="Times New Roman" w:hAnsi="Times New Roman" w:cs="Times New Roman"/>
                <w:sz w:val="24"/>
                <w:szCs w:val="24"/>
              </w:rPr>
            </w:pPr>
          </w:p>
          <w:p w14:paraId="39E4F850" w14:textId="77777777" w:rsidR="00A54FB3" w:rsidRPr="00824BC0" w:rsidRDefault="00A54FB3" w:rsidP="00A54FB3">
            <w:pPr>
              <w:jc w:val="center"/>
              <w:rPr>
                <w:rFonts w:ascii="Times New Roman" w:hAnsi="Times New Roman" w:cs="Times New Roman"/>
                <w:sz w:val="24"/>
                <w:szCs w:val="24"/>
              </w:rPr>
            </w:pPr>
            <w:r w:rsidRPr="00824BC0">
              <w:rPr>
                <w:rFonts w:ascii="Times New Roman" w:hAnsi="Times New Roman" w:cs="Times New Roman"/>
                <w:sz w:val="24"/>
                <w:szCs w:val="24"/>
              </w:rPr>
              <w:t>1</w:t>
            </w:r>
          </w:p>
        </w:tc>
        <w:tc>
          <w:tcPr>
            <w:tcW w:w="2783" w:type="dxa"/>
            <w:tcBorders>
              <w:bottom w:val="single" w:sz="4" w:space="0" w:color="auto"/>
            </w:tcBorders>
          </w:tcPr>
          <w:p w14:paraId="2016E65D" w14:textId="77777777" w:rsidR="00A54FB3" w:rsidRPr="00824BC0" w:rsidRDefault="00A54FB3" w:rsidP="00A54FB3">
            <w:pPr>
              <w:jc w:val="right"/>
              <w:rPr>
                <w:rFonts w:ascii="Times New Roman" w:hAnsi="Times New Roman" w:cs="Times New Roman"/>
                <w:sz w:val="24"/>
                <w:szCs w:val="24"/>
              </w:rPr>
            </w:pPr>
          </w:p>
          <w:p w14:paraId="29903456" w14:textId="77777777" w:rsidR="00A54FB3" w:rsidRPr="00824BC0" w:rsidRDefault="00A54FB3" w:rsidP="00A54FB3">
            <w:pPr>
              <w:jc w:val="right"/>
              <w:rPr>
                <w:rFonts w:ascii="Times New Roman" w:hAnsi="Times New Roman" w:cs="Times New Roman"/>
                <w:sz w:val="24"/>
                <w:szCs w:val="24"/>
              </w:rPr>
            </w:pPr>
          </w:p>
          <w:p w14:paraId="1C3483B6" w14:textId="77777777" w:rsidR="00A54FB3" w:rsidRPr="00824BC0" w:rsidRDefault="00A54FB3" w:rsidP="00A54FB3">
            <w:pPr>
              <w:jc w:val="right"/>
              <w:rPr>
                <w:rFonts w:ascii="Times New Roman" w:hAnsi="Times New Roman" w:cs="Times New Roman"/>
                <w:sz w:val="24"/>
                <w:szCs w:val="24"/>
              </w:rPr>
            </w:pPr>
            <w:r w:rsidRPr="00824BC0">
              <w:rPr>
                <w:rFonts w:ascii="Times New Roman" w:hAnsi="Times New Roman" w:cs="Times New Roman"/>
                <w:sz w:val="24"/>
                <w:szCs w:val="24"/>
              </w:rPr>
              <w:t>22,312,500.00</w:t>
            </w:r>
          </w:p>
        </w:tc>
      </w:tr>
      <w:tr w:rsidR="00A54FB3" w:rsidRPr="00824BC0" w14:paraId="15100E20" w14:textId="77777777" w:rsidTr="00EE7908">
        <w:tc>
          <w:tcPr>
            <w:tcW w:w="4386" w:type="dxa"/>
          </w:tcPr>
          <w:p w14:paraId="11EC623A" w14:textId="77777777" w:rsidR="00A54FB3" w:rsidRPr="00824BC0" w:rsidRDefault="00A54FB3" w:rsidP="00A54FB3">
            <w:pPr>
              <w:jc w:val="center"/>
              <w:rPr>
                <w:rFonts w:ascii="Times New Roman" w:hAnsi="Times New Roman" w:cs="Times New Roman"/>
                <w:b/>
                <w:bCs/>
                <w:sz w:val="24"/>
                <w:szCs w:val="24"/>
              </w:rPr>
            </w:pPr>
            <w:r w:rsidRPr="00824BC0">
              <w:rPr>
                <w:rFonts w:ascii="Times New Roman" w:hAnsi="Times New Roman" w:cs="Times New Roman"/>
                <w:b/>
                <w:bCs/>
                <w:sz w:val="24"/>
                <w:szCs w:val="24"/>
              </w:rPr>
              <w:t>TOTAL</w:t>
            </w:r>
          </w:p>
        </w:tc>
        <w:tc>
          <w:tcPr>
            <w:tcW w:w="1466" w:type="dxa"/>
            <w:tcBorders>
              <w:bottom w:val="double" w:sz="4" w:space="0" w:color="auto"/>
            </w:tcBorders>
          </w:tcPr>
          <w:p w14:paraId="3480F987" w14:textId="77777777" w:rsidR="00A54FB3" w:rsidRPr="00824BC0" w:rsidRDefault="00A54FB3" w:rsidP="00A54FB3">
            <w:pPr>
              <w:jc w:val="center"/>
              <w:rPr>
                <w:rFonts w:ascii="Times New Roman" w:hAnsi="Times New Roman" w:cs="Times New Roman"/>
                <w:b/>
                <w:bCs/>
                <w:sz w:val="24"/>
                <w:szCs w:val="24"/>
              </w:rPr>
            </w:pPr>
            <w:r w:rsidRPr="00824BC0">
              <w:rPr>
                <w:rFonts w:ascii="Times New Roman" w:hAnsi="Times New Roman" w:cs="Times New Roman"/>
                <w:b/>
                <w:bCs/>
                <w:sz w:val="24"/>
                <w:szCs w:val="24"/>
              </w:rPr>
              <w:t>29</w:t>
            </w:r>
          </w:p>
        </w:tc>
        <w:tc>
          <w:tcPr>
            <w:tcW w:w="2783" w:type="dxa"/>
            <w:tcBorders>
              <w:bottom w:val="double" w:sz="4" w:space="0" w:color="auto"/>
            </w:tcBorders>
          </w:tcPr>
          <w:p w14:paraId="52F17B32" w14:textId="77777777" w:rsidR="00A54FB3" w:rsidRPr="00824BC0" w:rsidRDefault="00A54FB3" w:rsidP="00A54FB3">
            <w:pPr>
              <w:jc w:val="right"/>
              <w:rPr>
                <w:rFonts w:ascii="Times New Roman" w:hAnsi="Times New Roman" w:cs="Times New Roman"/>
                <w:b/>
                <w:bCs/>
                <w:sz w:val="24"/>
                <w:szCs w:val="24"/>
              </w:rPr>
            </w:pPr>
            <w:r w:rsidRPr="00824BC0">
              <w:rPr>
                <w:rFonts w:ascii="Times New Roman" w:hAnsi="Times New Roman" w:cs="Times New Roman"/>
                <w:b/>
                <w:bCs/>
                <w:sz w:val="24"/>
                <w:szCs w:val="24"/>
              </w:rPr>
              <w:t>₱     29,703,518.56</w:t>
            </w:r>
          </w:p>
        </w:tc>
      </w:tr>
    </w:tbl>
    <w:p w14:paraId="23FA96C0" w14:textId="77777777" w:rsidR="00A54FB3" w:rsidRPr="00824BC0" w:rsidRDefault="00A54FB3" w:rsidP="00A54FB3">
      <w:pPr>
        <w:spacing w:after="0" w:line="240" w:lineRule="auto"/>
        <w:jc w:val="both"/>
        <w:rPr>
          <w:rFonts w:ascii="Times New Roman" w:hAnsi="Times New Roman" w:cs="Times New Roman"/>
          <w:sz w:val="24"/>
          <w:szCs w:val="24"/>
        </w:rPr>
      </w:pPr>
    </w:p>
    <w:p w14:paraId="5F761545" w14:textId="68D03537" w:rsidR="00A54FB3" w:rsidRPr="00824BC0" w:rsidRDefault="00A54FB3" w:rsidP="00EE7908">
      <w:pPr>
        <w:pStyle w:val="ListParagraph"/>
        <w:numPr>
          <w:ilvl w:val="1"/>
          <w:numId w:val="5"/>
        </w:numPr>
        <w:ind w:left="0" w:firstLine="0"/>
        <w:jc w:val="both"/>
        <w:rPr>
          <w:szCs w:val="24"/>
        </w:rPr>
      </w:pPr>
      <w:r w:rsidRPr="00824BC0">
        <w:rPr>
          <w:szCs w:val="24"/>
        </w:rPr>
        <w:t>If we only base it on the overall utilization rate, it would appear that BASC has not only substantially accomplished the GAD PAPs based on the projections made in the GPB but has even exceeded the target. However, scrutiny of the details of the GAD AR for CY 2021 revealed that out of the 29 planned PA</w:t>
      </w:r>
      <w:r w:rsidR="00C66595" w:rsidRPr="00824BC0">
        <w:rPr>
          <w:szCs w:val="24"/>
        </w:rPr>
        <w:t>P</w:t>
      </w:r>
      <w:r w:rsidRPr="00824BC0">
        <w:rPr>
          <w:szCs w:val="24"/>
        </w:rPr>
        <w:t>s for GAD, only 16 P</w:t>
      </w:r>
      <w:r w:rsidR="00C66595" w:rsidRPr="00824BC0">
        <w:rPr>
          <w:szCs w:val="24"/>
        </w:rPr>
        <w:t>AP</w:t>
      </w:r>
      <w:r w:rsidRPr="00824BC0">
        <w:rPr>
          <w:szCs w:val="24"/>
        </w:rPr>
        <w:t xml:space="preserve">s or 55.17% were fully implemented during the year.  The </w:t>
      </w:r>
      <w:r w:rsidR="0084730C" w:rsidRPr="00824BC0">
        <w:rPr>
          <w:szCs w:val="24"/>
        </w:rPr>
        <w:t>remaining</w:t>
      </w:r>
      <w:r w:rsidRPr="00824BC0">
        <w:rPr>
          <w:szCs w:val="24"/>
        </w:rPr>
        <w:t xml:space="preserve"> 13 were either partially implemented (includ</w:t>
      </w:r>
      <w:r w:rsidR="005778F5" w:rsidRPr="00824BC0">
        <w:rPr>
          <w:szCs w:val="24"/>
        </w:rPr>
        <w:t>ing</w:t>
      </w:r>
      <w:r w:rsidRPr="00824BC0">
        <w:rPr>
          <w:szCs w:val="24"/>
        </w:rPr>
        <w:t xml:space="preserve"> implemented program</w:t>
      </w:r>
      <w:r w:rsidR="005778F5" w:rsidRPr="00824BC0">
        <w:rPr>
          <w:szCs w:val="24"/>
        </w:rPr>
        <w:t>s</w:t>
      </w:r>
      <w:r w:rsidRPr="00824BC0">
        <w:rPr>
          <w:szCs w:val="24"/>
        </w:rPr>
        <w:t xml:space="preserve"> not part of the original GPB) or not implemented at all</w:t>
      </w:r>
      <w:r w:rsidR="0084730C" w:rsidRPr="00824BC0">
        <w:rPr>
          <w:szCs w:val="24"/>
        </w:rPr>
        <w:t xml:space="preserve">, as </w:t>
      </w:r>
      <w:r w:rsidR="005778F5" w:rsidRPr="00824BC0">
        <w:rPr>
          <w:szCs w:val="24"/>
        </w:rPr>
        <w:t xml:space="preserve">presented in detail </w:t>
      </w:r>
      <w:r w:rsidR="0084730C" w:rsidRPr="00824BC0">
        <w:rPr>
          <w:szCs w:val="24"/>
        </w:rPr>
        <w:t xml:space="preserve">in </w:t>
      </w:r>
      <w:r w:rsidR="005778F5" w:rsidRPr="00824BC0">
        <w:rPr>
          <w:szCs w:val="24"/>
        </w:rPr>
        <w:t>Appendix F.</w:t>
      </w:r>
    </w:p>
    <w:p w14:paraId="501AE9E2" w14:textId="77777777" w:rsidR="00A54FB3" w:rsidRPr="00824BC0" w:rsidRDefault="00A54FB3" w:rsidP="00A54FB3">
      <w:pPr>
        <w:spacing w:after="0" w:line="240" w:lineRule="auto"/>
        <w:jc w:val="both"/>
        <w:rPr>
          <w:rFonts w:ascii="Times New Roman" w:hAnsi="Times New Roman" w:cs="Times New Roman"/>
          <w:sz w:val="24"/>
          <w:szCs w:val="24"/>
        </w:rPr>
      </w:pPr>
    </w:p>
    <w:p w14:paraId="2470F67C" w14:textId="4E6F0E54" w:rsidR="00A54FB3" w:rsidRPr="00824BC0" w:rsidRDefault="00A54FB3" w:rsidP="00EE7908">
      <w:pPr>
        <w:pStyle w:val="ListParagraph"/>
        <w:numPr>
          <w:ilvl w:val="1"/>
          <w:numId w:val="5"/>
        </w:numPr>
        <w:ind w:left="0" w:firstLine="0"/>
        <w:jc w:val="both"/>
        <w:rPr>
          <w:szCs w:val="24"/>
        </w:rPr>
      </w:pPr>
      <w:r w:rsidRPr="00824BC0">
        <w:rPr>
          <w:szCs w:val="24"/>
        </w:rPr>
        <w:t xml:space="preserve">It is worth mentioning that Management’s compliance with the GAD Mandate has improved tremendously as compared to the previous year when the GAD Budget was underutilized. Likewise, in CY 2020, there was evident lack of knowledge and awareness in the proper attribution of projects or activities or the use of the Harmonized Gender and Development Guidelines (HGDG) </w:t>
      </w:r>
      <w:r w:rsidR="002E0FE7" w:rsidRPr="00824BC0">
        <w:rPr>
          <w:szCs w:val="24"/>
        </w:rPr>
        <w:t xml:space="preserve">prescribed by the PCW/NEDA/DBM Joint Circular </w:t>
      </w:r>
      <w:r w:rsidRPr="00824BC0">
        <w:rPr>
          <w:szCs w:val="24"/>
        </w:rPr>
        <w:t>to identify and address gender issues. Several factors, some of which are beyond the Agency’s control such as the recurrence of COVID-19 pandemic, also affected the attainment of the agency plans and goals related to GAD.  However, a mere look at the overall outcomes would tell us that these were actually not a full representative of the expected outputs of  BASC in relation to GAD.  There is a compelling need</w:t>
      </w:r>
      <w:r w:rsidR="002E0FE7" w:rsidRPr="00824BC0">
        <w:rPr>
          <w:szCs w:val="24"/>
        </w:rPr>
        <w:t xml:space="preserve"> for the GAD FPS </w:t>
      </w:r>
      <w:r w:rsidRPr="00824BC0">
        <w:rPr>
          <w:szCs w:val="24"/>
        </w:rPr>
        <w:t>to evaluate the individual performance of each P</w:t>
      </w:r>
      <w:r w:rsidR="00C66595" w:rsidRPr="00824BC0">
        <w:rPr>
          <w:szCs w:val="24"/>
        </w:rPr>
        <w:t>AP</w:t>
      </w:r>
      <w:r w:rsidRPr="00824BC0">
        <w:rPr>
          <w:szCs w:val="24"/>
        </w:rPr>
        <w:t xml:space="preserve"> to </w:t>
      </w:r>
      <w:r w:rsidR="002E0FE7" w:rsidRPr="00824BC0">
        <w:rPr>
          <w:szCs w:val="24"/>
        </w:rPr>
        <w:t>ascertain</w:t>
      </w:r>
      <w:r w:rsidRPr="00824BC0">
        <w:rPr>
          <w:szCs w:val="24"/>
        </w:rPr>
        <w:t xml:space="preserve"> whether gender issues identified in the planning phase were truly addressed in terms of relevance to GAD mandates and efficiency in the utilization of GAD fund. </w:t>
      </w:r>
    </w:p>
    <w:p w14:paraId="1CACB43D" w14:textId="77777777" w:rsidR="00A54FB3" w:rsidRPr="00824BC0" w:rsidRDefault="00A54FB3" w:rsidP="00A54FB3">
      <w:pPr>
        <w:spacing w:after="0" w:line="240" w:lineRule="auto"/>
        <w:jc w:val="both"/>
        <w:rPr>
          <w:rFonts w:ascii="Times New Roman" w:hAnsi="Times New Roman" w:cs="Times New Roman"/>
          <w:sz w:val="24"/>
          <w:szCs w:val="24"/>
        </w:rPr>
      </w:pPr>
    </w:p>
    <w:p w14:paraId="00A3EC15" w14:textId="011037E9" w:rsidR="00A54FB3" w:rsidRDefault="00A54FB3" w:rsidP="00A54FB3">
      <w:pPr>
        <w:pStyle w:val="ListParagraph"/>
        <w:numPr>
          <w:ilvl w:val="1"/>
          <w:numId w:val="5"/>
        </w:numPr>
        <w:ind w:left="0" w:firstLine="0"/>
        <w:jc w:val="both"/>
        <w:rPr>
          <w:b/>
          <w:bCs/>
          <w:szCs w:val="24"/>
        </w:rPr>
      </w:pPr>
      <w:r w:rsidRPr="00824BC0">
        <w:rPr>
          <w:b/>
          <w:bCs/>
          <w:szCs w:val="24"/>
        </w:rPr>
        <w:t>We recommend</w:t>
      </w:r>
      <w:r w:rsidR="0027565A" w:rsidRPr="00824BC0">
        <w:rPr>
          <w:b/>
          <w:bCs/>
          <w:szCs w:val="24"/>
        </w:rPr>
        <w:t>ed</w:t>
      </w:r>
      <w:r w:rsidRPr="00824BC0">
        <w:rPr>
          <w:b/>
          <w:bCs/>
          <w:szCs w:val="24"/>
        </w:rPr>
        <w:t xml:space="preserve"> </w:t>
      </w:r>
      <w:r w:rsidR="0027565A" w:rsidRPr="00824BC0">
        <w:rPr>
          <w:b/>
          <w:bCs/>
          <w:szCs w:val="24"/>
        </w:rPr>
        <w:t xml:space="preserve">and Management agreed that </w:t>
      </w:r>
      <w:r w:rsidRPr="00824BC0">
        <w:rPr>
          <w:b/>
          <w:bCs/>
          <w:szCs w:val="24"/>
        </w:rPr>
        <w:t>the College President require the</w:t>
      </w:r>
      <w:r w:rsidR="0027565A" w:rsidRPr="00824BC0">
        <w:rPr>
          <w:b/>
          <w:bCs/>
          <w:szCs w:val="24"/>
        </w:rPr>
        <w:t xml:space="preserve"> Director-</w:t>
      </w:r>
      <w:r w:rsidRPr="00824BC0">
        <w:rPr>
          <w:b/>
          <w:bCs/>
          <w:szCs w:val="24"/>
        </w:rPr>
        <w:t xml:space="preserve">GAD Focal </w:t>
      </w:r>
      <w:r w:rsidR="00C553B5" w:rsidRPr="00824BC0">
        <w:rPr>
          <w:b/>
          <w:bCs/>
          <w:szCs w:val="24"/>
        </w:rPr>
        <w:t>Point System (GFPS)</w:t>
      </w:r>
      <w:r w:rsidRPr="00824BC0">
        <w:rPr>
          <w:b/>
          <w:bCs/>
          <w:szCs w:val="24"/>
        </w:rPr>
        <w:t xml:space="preserve"> to:</w:t>
      </w:r>
    </w:p>
    <w:p w14:paraId="663D906D" w14:textId="77777777" w:rsidR="00351E85" w:rsidRPr="00351E85" w:rsidRDefault="00351E85" w:rsidP="00351E85">
      <w:pPr>
        <w:pStyle w:val="ListParagraph"/>
        <w:ind w:left="0"/>
        <w:jc w:val="both"/>
        <w:rPr>
          <w:b/>
          <w:bCs/>
          <w:szCs w:val="24"/>
        </w:rPr>
      </w:pPr>
    </w:p>
    <w:p w14:paraId="2BA48153" w14:textId="24E5B8F5" w:rsidR="00A54FB3" w:rsidRPr="00824BC0" w:rsidRDefault="00A54FB3" w:rsidP="00A54FB3">
      <w:pPr>
        <w:pStyle w:val="ListParagraph"/>
        <w:numPr>
          <w:ilvl w:val="0"/>
          <w:numId w:val="12"/>
        </w:numPr>
        <w:ind w:left="709" w:hanging="425"/>
        <w:jc w:val="both"/>
        <w:rPr>
          <w:b/>
          <w:bCs/>
          <w:szCs w:val="24"/>
        </w:rPr>
      </w:pPr>
      <w:r w:rsidRPr="00824BC0">
        <w:rPr>
          <w:b/>
          <w:bCs/>
          <w:szCs w:val="24"/>
        </w:rPr>
        <w:t xml:space="preserve">maintain adherence to the pertinent provisions of Executive Order No. 273 and PCW/NEDA/DBM Joint Circular No. 2012-01 on the proper attribution and implementation of GAD-responsive Programs/Activities/Projects (PAPs) as embodied in the approved GAD Plan and Budget; </w:t>
      </w:r>
      <w:r w:rsidR="002E0FE7" w:rsidRPr="00824BC0">
        <w:rPr>
          <w:b/>
          <w:bCs/>
          <w:szCs w:val="24"/>
        </w:rPr>
        <w:t>and</w:t>
      </w:r>
    </w:p>
    <w:p w14:paraId="6102209F" w14:textId="77777777" w:rsidR="00A54FB3" w:rsidRPr="00824BC0" w:rsidRDefault="00A54FB3" w:rsidP="00A54FB3">
      <w:pPr>
        <w:pStyle w:val="ListParagraph"/>
        <w:ind w:left="1080" w:hanging="450"/>
        <w:jc w:val="both"/>
        <w:rPr>
          <w:b/>
          <w:bCs/>
          <w:szCs w:val="24"/>
        </w:rPr>
      </w:pPr>
    </w:p>
    <w:p w14:paraId="5BAD78C2" w14:textId="65E46614" w:rsidR="00A54FB3" w:rsidRPr="00824BC0" w:rsidRDefault="00A54FB3" w:rsidP="00C553B5">
      <w:pPr>
        <w:pStyle w:val="ListParagraph"/>
        <w:numPr>
          <w:ilvl w:val="0"/>
          <w:numId w:val="12"/>
        </w:numPr>
        <w:ind w:left="709" w:hanging="425"/>
        <w:jc w:val="both"/>
        <w:rPr>
          <w:b/>
          <w:bCs/>
          <w:szCs w:val="24"/>
        </w:rPr>
      </w:pPr>
      <w:r w:rsidRPr="00824BC0">
        <w:rPr>
          <w:b/>
          <w:bCs/>
          <w:szCs w:val="24"/>
        </w:rPr>
        <w:t>continue to carefully plan and develop PA</w:t>
      </w:r>
      <w:r w:rsidR="00C66595" w:rsidRPr="00824BC0">
        <w:rPr>
          <w:b/>
          <w:bCs/>
          <w:szCs w:val="24"/>
        </w:rPr>
        <w:t>P</w:t>
      </w:r>
      <w:r w:rsidRPr="00824BC0">
        <w:rPr>
          <w:b/>
          <w:bCs/>
          <w:szCs w:val="24"/>
        </w:rPr>
        <w:t>s which are doable and attainable even in circumstances that hamper the attainment of plans and goals;</w:t>
      </w:r>
      <w:r w:rsidR="00C553B5" w:rsidRPr="00824BC0">
        <w:rPr>
          <w:b/>
          <w:bCs/>
          <w:szCs w:val="24"/>
        </w:rPr>
        <w:t xml:space="preserve"> </w:t>
      </w:r>
      <w:r w:rsidRPr="00824BC0">
        <w:rPr>
          <w:b/>
          <w:bCs/>
          <w:szCs w:val="24"/>
        </w:rPr>
        <w:t xml:space="preserve">make use of the individual performance outcomes of each PAP in </w:t>
      </w:r>
      <w:r w:rsidR="002E0FE7" w:rsidRPr="00824BC0">
        <w:rPr>
          <w:b/>
          <w:bCs/>
          <w:szCs w:val="24"/>
        </w:rPr>
        <w:t xml:space="preserve">determining </w:t>
      </w:r>
      <w:r w:rsidRPr="00824BC0">
        <w:rPr>
          <w:b/>
          <w:bCs/>
          <w:szCs w:val="24"/>
        </w:rPr>
        <w:t xml:space="preserve">and evaluating the areas of improvement in terms of sensitivity and responsiveness to identified gender issues and enable the GFPS to obtain a more accurate measurement of performance that would truly represent the College’s compliance with the GAD mandate </w:t>
      </w:r>
      <w:r w:rsidR="002E0FE7" w:rsidRPr="00824BC0">
        <w:rPr>
          <w:b/>
          <w:bCs/>
          <w:szCs w:val="24"/>
        </w:rPr>
        <w:t>in a holistic manner</w:t>
      </w:r>
      <w:r w:rsidRPr="00824BC0">
        <w:rPr>
          <w:b/>
          <w:bCs/>
          <w:szCs w:val="24"/>
        </w:rPr>
        <w:t>.</w:t>
      </w:r>
    </w:p>
    <w:p w14:paraId="02593126" w14:textId="4EC08738" w:rsidR="00C553B5" w:rsidRPr="00824BC0" w:rsidRDefault="00C553B5" w:rsidP="00C553B5">
      <w:pPr>
        <w:pStyle w:val="ListParagraph"/>
        <w:rPr>
          <w:b/>
          <w:bCs/>
          <w:sz w:val="26"/>
          <w:szCs w:val="24"/>
        </w:rPr>
      </w:pPr>
    </w:p>
    <w:p w14:paraId="5C6AA56D" w14:textId="2B4D0321" w:rsidR="00C553B5" w:rsidRPr="00824BC0" w:rsidRDefault="00C553B5" w:rsidP="00C553B5">
      <w:pPr>
        <w:jc w:val="both"/>
        <w:rPr>
          <w:rFonts w:ascii="Times New Roman" w:hAnsi="Times New Roman" w:cs="Times New Roman"/>
          <w:bCs/>
          <w:i/>
          <w:sz w:val="24"/>
          <w:szCs w:val="24"/>
        </w:rPr>
      </w:pPr>
      <w:r w:rsidRPr="00824BC0">
        <w:rPr>
          <w:rFonts w:ascii="Times New Roman" w:hAnsi="Times New Roman" w:cs="Times New Roman"/>
          <w:bCs/>
          <w:i/>
          <w:sz w:val="24"/>
          <w:szCs w:val="24"/>
        </w:rPr>
        <w:t>Management Comments:</w:t>
      </w:r>
    </w:p>
    <w:p w14:paraId="447DD052" w14:textId="2CAD9652" w:rsidR="00C553B5" w:rsidRPr="00824BC0" w:rsidRDefault="002E0FE7" w:rsidP="00C553B5">
      <w:pPr>
        <w:pStyle w:val="ListParagraph"/>
        <w:numPr>
          <w:ilvl w:val="1"/>
          <w:numId w:val="5"/>
        </w:numPr>
        <w:ind w:left="0" w:firstLine="0"/>
        <w:jc w:val="both"/>
        <w:rPr>
          <w:bCs/>
          <w:szCs w:val="24"/>
        </w:rPr>
      </w:pPr>
      <w:r w:rsidRPr="00824BC0">
        <w:rPr>
          <w:bCs/>
          <w:szCs w:val="24"/>
        </w:rPr>
        <w:t>In</w:t>
      </w:r>
      <w:r w:rsidR="0027565A" w:rsidRPr="00824BC0">
        <w:rPr>
          <w:bCs/>
          <w:szCs w:val="24"/>
        </w:rPr>
        <w:t xml:space="preserve"> reply to AOM No. 2022-04(2021) dated March 8, 2022, the GAD Director reiterat</w:t>
      </w:r>
      <w:r w:rsidR="006024A3">
        <w:rPr>
          <w:bCs/>
          <w:szCs w:val="24"/>
        </w:rPr>
        <w:t>e</w:t>
      </w:r>
      <w:r w:rsidRPr="00824BC0">
        <w:rPr>
          <w:bCs/>
          <w:szCs w:val="24"/>
        </w:rPr>
        <w:t>d</w:t>
      </w:r>
      <w:r w:rsidR="0027565A" w:rsidRPr="00824BC0">
        <w:rPr>
          <w:bCs/>
          <w:szCs w:val="24"/>
        </w:rPr>
        <w:t xml:space="preserve"> that the following</w:t>
      </w:r>
      <w:r w:rsidR="001F5DED" w:rsidRPr="00824BC0">
        <w:rPr>
          <w:bCs/>
          <w:szCs w:val="24"/>
        </w:rPr>
        <w:t xml:space="preserve"> measures were taken by Management to continuously adhere to the GAD </w:t>
      </w:r>
      <w:r w:rsidRPr="00824BC0">
        <w:rPr>
          <w:bCs/>
          <w:szCs w:val="24"/>
        </w:rPr>
        <w:t>requirements</w:t>
      </w:r>
      <w:r w:rsidR="001F5DED" w:rsidRPr="00824BC0">
        <w:rPr>
          <w:bCs/>
          <w:szCs w:val="24"/>
        </w:rPr>
        <w:t>:</w:t>
      </w:r>
    </w:p>
    <w:p w14:paraId="4012FDBF" w14:textId="6CDA94E3" w:rsidR="001F5DED" w:rsidRPr="00824BC0" w:rsidRDefault="001F5DED" w:rsidP="001F5DED">
      <w:pPr>
        <w:spacing w:after="0"/>
        <w:jc w:val="both"/>
        <w:rPr>
          <w:rFonts w:ascii="Times New Roman" w:hAnsi="Times New Roman" w:cs="Times New Roman"/>
          <w:bCs/>
          <w:sz w:val="24"/>
          <w:szCs w:val="24"/>
        </w:rPr>
      </w:pPr>
    </w:p>
    <w:p w14:paraId="188EB770" w14:textId="145B3BB5" w:rsidR="001F5DED" w:rsidRPr="00824BC0" w:rsidRDefault="001F5DED" w:rsidP="00C66595">
      <w:pPr>
        <w:pStyle w:val="ListParagraph"/>
        <w:numPr>
          <w:ilvl w:val="0"/>
          <w:numId w:val="15"/>
        </w:numPr>
        <w:ind w:left="720"/>
        <w:jc w:val="both"/>
        <w:rPr>
          <w:bCs/>
          <w:szCs w:val="24"/>
        </w:rPr>
      </w:pPr>
      <w:r w:rsidRPr="00824BC0">
        <w:rPr>
          <w:bCs/>
          <w:szCs w:val="24"/>
        </w:rPr>
        <w:t xml:space="preserve">Since </w:t>
      </w:r>
      <w:r w:rsidR="003B15E9" w:rsidRPr="00824BC0">
        <w:rPr>
          <w:bCs/>
          <w:szCs w:val="24"/>
        </w:rPr>
        <w:t xml:space="preserve">International Organization for Standardization (ISO) </w:t>
      </w:r>
      <w:r w:rsidRPr="00824BC0">
        <w:rPr>
          <w:bCs/>
          <w:szCs w:val="24"/>
        </w:rPr>
        <w:t xml:space="preserve">Process on the preparation and submission of GAD Plan and Budget (GPB) is already in place, crafting and proposal for GAD PAP </w:t>
      </w:r>
      <w:r w:rsidR="003B15E9" w:rsidRPr="00824BC0">
        <w:rPr>
          <w:bCs/>
          <w:szCs w:val="24"/>
        </w:rPr>
        <w:t xml:space="preserve">shall </w:t>
      </w:r>
      <w:r w:rsidRPr="00824BC0">
        <w:rPr>
          <w:bCs/>
          <w:szCs w:val="24"/>
        </w:rPr>
        <w:t xml:space="preserve">be done in the first semester of the Fiscal Year.  The crafted proposal will be subjected to evaluation by the GAD Technical Working Group </w:t>
      </w:r>
      <w:r w:rsidR="00351E85">
        <w:rPr>
          <w:bCs/>
          <w:szCs w:val="24"/>
        </w:rPr>
        <w:t xml:space="preserve">(TWG) </w:t>
      </w:r>
      <w:r w:rsidRPr="00824BC0">
        <w:rPr>
          <w:bCs/>
          <w:szCs w:val="24"/>
        </w:rPr>
        <w:t>and, when approved, shall be included in the GPB</w:t>
      </w:r>
      <w:r w:rsidR="003B15E9" w:rsidRPr="00824BC0">
        <w:rPr>
          <w:bCs/>
          <w:szCs w:val="24"/>
        </w:rPr>
        <w:t xml:space="preserve"> of the succeeding year.</w:t>
      </w:r>
      <w:r w:rsidRPr="00824BC0">
        <w:rPr>
          <w:bCs/>
          <w:szCs w:val="24"/>
        </w:rPr>
        <w:t xml:space="preserve">  </w:t>
      </w:r>
    </w:p>
    <w:p w14:paraId="68170E7C" w14:textId="77777777" w:rsidR="001F5DED" w:rsidRPr="00824BC0" w:rsidRDefault="001F5DED" w:rsidP="00C66595">
      <w:pPr>
        <w:pStyle w:val="ListParagraph"/>
        <w:jc w:val="both"/>
        <w:rPr>
          <w:bCs/>
          <w:szCs w:val="24"/>
        </w:rPr>
      </w:pPr>
    </w:p>
    <w:p w14:paraId="3932F02C" w14:textId="55D4B0B8" w:rsidR="001F5DED" w:rsidRPr="00824BC0" w:rsidRDefault="003B15E9" w:rsidP="00C66595">
      <w:pPr>
        <w:pStyle w:val="ListParagraph"/>
        <w:numPr>
          <w:ilvl w:val="0"/>
          <w:numId w:val="15"/>
        </w:numPr>
        <w:ind w:left="720"/>
        <w:jc w:val="both"/>
        <w:rPr>
          <w:bCs/>
          <w:szCs w:val="24"/>
        </w:rPr>
      </w:pPr>
      <w:r w:rsidRPr="00824BC0">
        <w:rPr>
          <w:bCs/>
          <w:szCs w:val="24"/>
        </w:rPr>
        <w:t>To</w:t>
      </w:r>
      <w:r w:rsidR="001F5DED" w:rsidRPr="00824BC0">
        <w:rPr>
          <w:bCs/>
          <w:szCs w:val="24"/>
        </w:rPr>
        <w:t xml:space="preserve"> be considered as</w:t>
      </w:r>
      <w:r w:rsidR="00C66595" w:rsidRPr="00824BC0">
        <w:rPr>
          <w:bCs/>
          <w:szCs w:val="24"/>
        </w:rPr>
        <w:t xml:space="preserve"> a</w:t>
      </w:r>
      <w:r w:rsidR="001F5DED" w:rsidRPr="00824BC0">
        <w:rPr>
          <w:bCs/>
          <w:szCs w:val="24"/>
        </w:rPr>
        <w:t xml:space="preserve"> GAD PAP, </w:t>
      </w:r>
      <w:r w:rsidR="00533C06" w:rsidRPr="00824BC0">
        <w:rPr>
          <w:bCs/>
          <w:szCs w:val="24"/>
        </w:rPr>
        <w:t xml:space="preserve">the same shall be </w:t>
      </w:r>
      <w:r w:rsidR="001F5DED" w:rsidRPr="00824BC0">
        <w:rPr>
          <w:bCs/>
          <w:szCs w:val="24"/>
        </w:rPr>
        <w:t>aligned with the Approved GAD Agenda 2020-2025. If it is not aligned, attribution may be possible if a score of at least 4.0</w:t>
      </w:r>
      <w:r w:rsidR="00533C06" w:rsidRPr="00824BC0">
        <w:rPr>
          <w:bCs/>
          <w:szCs w:val="24"/>
        </w:rPr>
        <w:t xml:space="preserve"> is obtained</w:t>
      </w:r>
      <w:r w:rsidR="001F5DED" w:rsidRPr="00824BC0">
        <w:rPr>
          <w:bCs/>
          <w:szCs w:val="24"/>
        </w:rPr>
        <w:t xml:space="preserve"> or has promising GAD prospects </w:t>
      </w:r>
      <w:r w:rsidR="0089320F" w:rsidRPr="00824BC0">
        <w:rPr>
          <w:bCs/>
          <w:szCs w:val="24"/>
        </w:rPr>
        <w:t>(conditional pass)</w:t>
      </w:r>
      <w:r w:rsidR="00533C06" w:rsidRPr="00824BC0">
        <w:rPr>
          <w:bCs/>
          <w:szCs w:val="24"/>
        </w:rPr>
        <w:t xml:space="preserve"> based on</w:t>
      </w:r>
      <w:r w:rsidR="0089320F" w:rsidRPr="00824BC0">
        <w:rPr>
          <w:bCs/>
          <w:szCs w:val="24"/>
        </w:rPr>
        <w:t xml:space="preserve"> the Harmonized GAD Guidelines </w:t>
      </w:r>
      <w:r w:rsidR="001F5DED" w:rsidRPr="00824BC0">
        <w:rPr>
          <w:bCs/>
          <w:szCs w:val="24"/>
        </w:rPr>
        <w:t xml:space="preserve">tool by the Philippine Commission on Women (PCW).  </w:t>
      </w:r>
      <w:r w:rsidR="0089320F" w:rsidRPr="00824BC0">
        <w:rPr>
          <w:bCs/>
          <w:szCs w:val="24"/>
        </w:rPr>
        <w:t>This score (being second to “zero” rating) may cause the return of the proposal to the proponent(s) for further improvement to become gender-responsive.</w:t>
      </w:r>
    </w:p>
    <w:p w14:paraId="3FF80D56" w14:textId="77777777" w:rsidR="0089320F" w:rsidRPr="00824BC0" w:rsidRDefault="0089320F" w:rsidP="00C66595">
      <w:pPr>
        <w:pStyle w:val="ListParagraph"/>
        <w:rPr>
          <w:bCs/>
          <w:szCs w:val="24"/>
        </w:rPr>
      </w:pPr>
    </w:p>
    <w:p w14:paraId="70B7384E" w14:textId="7D0906AB" w:rsidR="0089320F" w:rsidRPr="00824BC0" w:rsidRDefault="0089320F" w:rsidP="00C66595">
      <w:pPr>
        <w:pStyle w:val="ListParagraph"/>
        <w:numPr>
          <w:ilvl w:val="0"/>
          <w:numId w:val="15"/>
        </w:numPr>
        <w:ind w:left="720"/>
        <w:jc w:val="both"/>
        <w:rPr>
          <w:bCs/>
          <w:szCs w:val="24"/>
        </w:rPr>
      </w:pPr>
      <w:r w:rsidRPr="00824BC0">
        <w:rPr>
          <w:bCs/>
          <w:szCs w:val="24"/>
        </w:rPr>
        <w:t>Every employee</w:t>
      </w:r>
      <w:r w:rsidR="00883DB8" w:rsidRPr="00824BC0">
        <w:rPr>
          <w:bCs/>
          <w:szCs w:val="24"/>
        </w:rPr>
        <w:t>, whether teaching, non-teaching, member of the Administrative Council or not, must follow the BASC Code-directed GAD training/seminar and include at least two or more GAD targets in their DPCR/IPCR</w:t>
      </w:r>
      <w:r w:rsidR="00533C06" w:rsidRPr="00824BC0">
        <w:rPr>
          <w:bCs/>
          <w:szCs w:val="24"/>
        </w:rPr>
        <w:t xml:space="preserve"> (Article 118, Section 515.5)</w:t>
      </w:r>
      <w:r w:rsidR="00883DB8" w:rsidRPr="00824BC0">
        <w:rPr>
          <w:bCs/>
          <w:szCs w:val="24"/>
        </w:rPr>
        <w:t>.  These GAD targets</w:t>
      </w:r>
      <w:r w:rsidR="00533C06" w:rsidRPr="00824BC0">
        <w:rPr>
          <w:bCs/>
          <w:szCs w:val="24"/>
        </w:rPr>
        <w:t xml:space="preserve"> shall</w:t>
      </w:r>
      <w:r w:rsidR="00883DB8" w:rsidRPr="00824BC0">
        <w:rPr>
          <w:bCs/>
          <w:szCs w:val="24"/>
        </w:rPr>
        <w:t xml:space="preserve"> be included in each support function of every employee and </w:t>
      </w:r>
      <w:r w:rsidR="00533C06" w:rsidRPr="00824BC0">
        <w:rPr>
          <w:bCs/>
          <w:szCs w:val="24"/>
        </w:rPr>
        <w:t>carry</w:t>
      </w:r>
      <w:r w:rsidR="00883DB8" w:rsidRPr="00824BC0">
        <w:rPr>
          <w:bCs/>
          <w:szCs w:val="24"/>
        </w:rPr>
        <w:t xml:space="preserve"> a weight allocation of 5% of the final rating of the </w:t>
      </w:r>
      <w:r w:rsidR="00533C06" w:rsidRPr="00824BC0">
        <w:rPr>
          <w:bCs/>
          <w:szCs w:val="24"/>
        </w:rPr>
        <w:t>O</w:t>
      </w:r>
      <w:r w:rsidR="00883DB8" w:rsidRPr="00824BC0">
        <w:rPr>
          <w:bCs/>
          <w:szCs w:val="24"/>
        </w:rPr>
        <w:t>ffice and individual performance.</w:t>
      </w:r>
    </w:p>
    <w:p w14:paraId="58A02774" w14:textId="77777777" w:rsidR="00883DB8" w:rsidRPr="00824BC0" w:rsidRDefault="00883DB8" w:rsidP="00883DB8">
      <w:pPr>
        <w:pStyle w:val="ListParagraph"/>
        <w:rPr>
          <w:bCs/>
          <w:szCs w:val="24"/>
        </w:rPr>
      </w:pPr>
    </w:p>
    <w:p w14:paraId="0B4E077C" w14:textId="29087B47" w:rsidR="00883DB8" w:rsidRPr="00824BC0" w:rsidRDefault="00883DB8" w:rsidP="00883DB8">
      <w:pPr>
        <w:pStyle w:val="ListParagraph"/>
        <w:numPr>
          <w:ilvl w:val="1"/>
          <w:numId w:val="5"/>
        </w:numPr>
        <w:ind w:left="0" w:firstLine="0"/>
        <w:jc w:val="both"/>
        <w:rPr>
          <w:bCs/>
          <w:szCs w:val="24"/>
        </w:rPr>
      </w:pPr>
      <w:r w:rsidRPr="00824BC0">
        <w:rPr>
          <w:bCs/>
          <w:szCs w:val="24"/>
        </w:rPr>
        <w:t xml:space="preserve">The GAD Director also informed the Audit Team during the exit conference that, in the final Accomplishment Report as reviewed by the PCW, the GAD expenditure rate of BASC has increased </w:t>
      </w:r>
      <w:r w:rsidR="000702B7" w:rsidRPr="00824BC0">
        <w:rPr>
          <w:bCs/>
          <w:szCs w:val="24"/>
        </w:rPr>
        <w:t xml:space="preserve">from 12.5 % </w:t>
      </w:r>
      <w:r w:rsidRPr="00824BC0">
        <w:rPr>
          <w:bCs/>
          <w:szCs w:val="24"/>
        </w:rPr>
        <w:t xml:space="preserve">to </w:t>
      </w:r>
      <w:r w:rsidR="000702B7" w:rsidRPr="00824BC0">
        <w:rPr>
          <w:bCs/>
          <w:szCs w:val="24"/>
        </w:rPr>
        <w:t>13</w:t>
      </w:r>
      <w:r w:rsidRPr="00824BC0">
        <w:rPr>
          <w:bCs/>
          <w:szCs w:val="24"/>
        </w:rPr>
        <w:t>%.</w:t>
      </w:r>
    </w:p>
    <w:p w14:paraId="4F6910E7" w14:textId="325B2A49" w:rsidR="00883DB8" w:rsidRDefault="00883DB8" w:rsidP="00883DB8">
      <w:pPr>
        <w:pStyle w:val="ListParagraph"/>
        <w:ind w:left="0"/>
        <w:jc w:val="both"/>
        <w:rPr>
          <w:bCs/>
          <w:szCs w:val="24"/>
        </w:rPr>
      </w:pPr>
    </w:p>
    <w:p w14:paraId="6E720A55" w14:textId="28035A96" w:rsidR="00351E85" w:rsidRDefault="00351E85" w:rsidP="00883DB8">
      <w:pPr>
        <w:pStyle w:val="ListParagraph"/>
        <w:ind w:left="0"/>
        <w:jc w:val="both"/>
        <w:rPr>
          <w:bCs/>
          <w:szCs w:val="24"/>
        </w:rPr>
      </w:pPr>
    </w:p>
    <w:p w14:paraId="43391CBC" w14:textId="77777777" w:rsidR="00351E85" w:rsidRPr="00824BC0" w:rsidRDefault="00351E85" w:rsidP="00883DB8">
      <w:pPr>
        <w:pStyle w:val="ListParagraph"/>
        <w:ind w:left="0"/>
        <w:jc w:val="both"/>
        <w:rPr>
          <w:bCs/>
          <w:szCs w:val="24"/>
        </w:rPr>
      </w:pPr>
    </w:p>
    <w:p w14:paraId="6467CC3B" w14:textId="42E2D3D3" w:rsidR="00883DB8" w:rsidRPr="00824BC0" w:rsidRDefault="00883DB8" w:rsidP="00883DB8">
      <w:pPr>
        <w:pStyle w:val="ListParagraph"/>
        <w:ind w:left="0"/>
        <w:jc w:val="both"/>
        <w:rPr>
          <w:bCs/>
          <w:i/>
          <w:iCs/>
          <w:szCs w:val="24"/>
        </w:rPr>
      </w:pPr>
      <w:r w:rsidRPr="00824BC0">
        <w:rPr>
          <w:bCs/>
          <w:i/>
          <w:iCs/>
          <w:szCs w:val="24"/>
        </w:rPr>
        <w:lastRenderedPageBreak/>
        <w:t>Auditor’s Rejoinder:</w:t>
      </w:r>
    </w:p>
    <w:p w14:paraId="5542C923" w14:textId="77777777" w:rsidR="00883DB8" w:rsidRPr="00824BC0" w:rsidRDefault="00883DB8" w:rsidP="00883DB8">
      <w:pPr>
        <w:pStyle w:val="ListParagraph"/>
        <w:ind w:left="0"/>
        <w:jc w:val="both"/>
        <w:rPr>
          <w:bCs/>
          <w:szCs w:val="24"/>
        </w:rPr>
      </w:pPr>
    </w:p>
    <w:p w14:paraId="37E4B499" w14:textId="479A2F9F" w:rsidR="00883DB8" w:rsidRPr="00824BC0" w:rsidRDefault="00883DB8" w:rsidP="00883DB8">
      <w:pPr>
        <w:pStyle w:val="ListParagraph"/>
        <w:numPr>
          <w:ilvl w:val="1"/>
          <w:numId w:val="5"/>
        </w:numPr>
        <w:ind w:left="0" w:firstLine="0"/>
        <w:jc w:val="both"/>
        <w:rPr>
          <w:bCs/>
          <w:szCs w:val="24"/>
        </w:rPr>
      </w:pPr>
      <w:r w:rsidRPr="00824BC0">
        <w:rPr>
          <w:bCs/>
          <w:szCs w:val="24"/>
        </w:rPr>
        <w:t xml:space="preserve">The Audit Team clarified with Management that there is no problem as regards the cost attribution and expenditure rate of BASC because they have </w:t>
      </w:r>
      <w:r w:rsidR="00A609CC" w:rsidRPr="00824BC0">
        <w:rPr>
          <w:bCs/>
          <w:szCs w:val="24"/>
        </w:rPr>
        <w:t xml:space="preserve">more than </w:t>
      </w:r>
      <w:r w:rsidRPr="00824BC0">
        <w:rPr>
          <w:bCs/>
          <w:szCs w:val="24"/>
        </w:rPr>
        <w:t>exceeded the</w:t>
      </w:r>
      <w:r w:rsidR="00A609CC" w:rsidRPr="00824BC0">
        <w:rPr>
          <w:bCs/>
          <w:szCs w:val="24"/>
        </w:rPr>
        <w:t>ir targets for the year.</w:t>
      </w:r>
      <w:r w:rsidRPr="00824BC0">
        <w:rPr>
          <w:bCs/>
          <w:szCs w:val="24"/>
        </w:rPr>
        <w:t xml:space="preserve"> </w:t>
      </w:r>
      <w:r w:rsidR="000E302E" w:rsidRPr="00824BC0">
        <w:rPr>
          <w:bCs/>
          <w:szCs w:val="24"/>
        </w:rPr>
        <w:t xml:space="preserve">We are more concerned on </w:t>
      </w:r>
      <w:r w:rsidR="00A609CC" w:rsidRPr="00824BC0">
        <w:rPr>
          <w:bCs/>
          <w:szCs w:val="24"/>
        </w:rPr>
        <w:t>the low implementation rate in terms of the number of fully implemented PA</w:t>
      </w:r>
      <w:r w:rsidR="00C66595" w:rsidRPr="00824BC0">
        <w:rPr>
          <w:bCs/>
          <w:szCs w:val="24"/>
        </w:rPr>
        <w:t>P</w:t>
      </w:r>
      <w:r w:rsidR="00A609CC" w:rsidRPr="00824BC0">
        <w:rPr>
          <w:bCs/>
          <w:szCs w:val="24"/>
        </w:rPr>
        <w:t xml:space="preserve">s vis-à-vis the number of targeted </w:t>
      </w:r>
      <w:r w:rsidR="009648BF" w:rsidRPr="00824BC0">
        <w:rPr>
          <w:bCs/>
          <w:szCs w:val="24"/>
        </w:rPr>
        <w:t>P</w:t>
      </w:r>
      <w:r w:rsidR="00C66595" w:rsidRPr="00824BC0">
        <w:rPr>
          <w:bCs/>
          <w:szCs w:val="24"/>
        </w:rPr>
        <w:t>AP</w:t>
      </w:r>
      <w:r w:rsidR="00A609CC" w:rsidRPr="00824BC0">
        <w:rPr>
          <w:bCs/>
          <w:szCs w:val="24"/>
        </w:rPr>
        <w:t>s per</w:t>
      </w:r>
      <w:r w:rsidR="00094B5D" w:rsidRPr="00824BC0">
        <w:rPr>
          <w:bCs/>
          <w:szCs w:val="24"/>
        </w:rPr>
        <w:t xml:space="preserve"> </w:t>
      </w:r>
      <w:r w:rsidR="00A609CC" w:rsidRPr="00824BC0">
        <w:rPr>
          <w:bCs/>
          <w:szCs w:val="24"/>
        </w:rPr>
        <w:t xml:space="preserve">GPB.  Management explained that there were a number of </w:t>
      </w:r>
      <w:r w:rsidR="009648BF" w:rsidRPr="00824BC0">
        <w:rPr>
          <w:bCs/>
          <w:szCs w:val="24"/>
        </w:rPr>
        <w:t>P</w:t>
      </w:r>
      <w:r w:rsidR="00C66595" w:rsidRPr="00824BC0">
        <w:rPr>
          <w:bCs/>
          <w:szCs w:val="24"/>
        </w:rPr>
        <w:t>AP</w:t>
      </w:r>
      <w:r w:rsidR="00A609CC" w:rsidRPr="00824BC0">
        <w:rPr>
          <w:bCs/>
          <w:szCs w:val="24"/>
        </w:rPr>
        <w:t>s which require about two to three years to implement, hence</w:t>
      </w:r>
      <w:r w:rsidR="00094B5D" w:rsidRPr="00824BC0">
        <w:rPr>
          <w:bCs/>
          <w:szCs w:val="24"/>
        </w:rPr>
        <w:t xml:space="preserve">, </w:t>
      </w:r>
      <w:r w:rsidR="00A609CC" w:rsidRPr="00824BC0">
        <w:rPr>
          <w:bCs/>
          <w:szCs w:val="24"/>
        </w:rPr>
        <w:t>the reported partial implementation</w:t>
      </w:r>
      <w:r w:rsidR="00094B5D" w:rsidRPr="00824BC0">
        <w:rPr>
          <w:bCs/>
          <w:szCs w:val="24"/>
        </w:rPr>
        <w:t xml:space="preserve"> for CY 2021.</w:t>
      </w:r>
      <w:r w:rsidR="00A609CC" w:rsidRPr="00824BC0">
        <w:rPr>
          <w:bCs/>
          <w:szCs w:val="24"/>
        </w:rPr>
        <w:t xml:space="preserve"> The Audit Team suggested to present these </w:t>
      </w:r>
      <w:r w:rsidR="009648BF" w:rsidRPr="00824BC0">
        <w:rPr>
          <w:bCs/>
          <w:szCs w:val="24"/>
        </w:rPr>
        <w:t>P</w:t>
      </w:r>
      <w:r w:rsidR="00C66595" w:rsidRPr="00824BC0">
        <w:rPr>
          <w:bCs/>
          <w:szCs w:val="24"/>
        </w:rPr>
        <w:t>AP</w:t>
      </w:r>
      <w:r w:rsidR="009648BF" w:rsidRPr="00824BC0">
        <w:rPr>
          <w:bCs/>
          <w:szCs w:val="24"/>
        </w:rPr>
        <w:t xml:space="preserve">s </w:t>
      </w:r>
      <w:r w:rsidR="00A609CC" w:rsidRPr="00824BC0">
        <w:rPr>
          <w:bCs/>
          <w:szCs w:val="24"/>
        </w:rPr>
        <w:t xml:space="preserve">in the GPB </w:t>
      </w:r>
      <w:r w:rsidR="00094B5D" w:rsidRPr="00824BC0">
        <w:rPr>
          <w:bCs/>
          <w:szCs w:val="24"/>
        </w:rPr>
        <w:t xml:space="preserve">showing the </w:t>
      </w:r>
      <w:r w:rsidR="00A609CC" w:rsidRPr="00824BC0">
        <w:rPr>
          <w:bCs/>
          <w:szCs w:val="24"/>
        </w:rPr>
        <w:t xml:space="preserve">particular targets per year of implementation </w:t>
      </w:r>
      <w:r w:rsidR="00733973" w:rsidRPr="00824BC0">
        <w:rPr>
          <w:bCs/>
          <w:szCs w:val="24"/>
        </w:rPr>
        <w:t xml:space="preserve">so that </w:t>
      </w:r>
      <w:r w:rsidR="00A609CC" w:rsidRPr="00824BC0">
        <w:rPr>
          <w:bCs/>
          <w:szCs w:val="24"/>
        </w:rPr>
        <w:t>accomplishment</w:t>
      </w:r>
      <w:r w:rsidR="00094B5D" w:rsidRPr="00824BC0">
        <w:rPr>
          <w:bCs/>
          <w:szCs w:val="24"/>
        </w:rPr>
        <w:t>s</w:t>
      </w:r>
      <w:r w:rsidR="00A609CC" w:rsidRPr="00824BC0">
        <w:rPr>
          <w:bCs/>
          <w:szCs w:val="24"/>
        </w:rPr>
        <w:t xml:space="preserve"> </w:t>
      </w:r>
      <w:r w:rsidR="00733973" w:rsidRPr="00824BC0">
        <w:rPr>
          <w:bCs/>
          <w:szCs w:val="24"/>
        </w:rPr>
        <w:t xml:space="preserve">for that particular </w:t>
      </w:r>
      <w:r w:rsidR="00A609CC" w:rsidRPr="00824BC0">
        <w:rPr>
          <w:bCs/>
          <w:szCs w:val="24"/>
        </w:rPr>
        <w:t>year</w:t>
      </w:r>
      <w:r w:rsidR="00094B5D" w:rsidRPr="00824BC0">
        <w:rPr>
          <w:bCs/>
          <w:szCs w:val="24"/>
        </w:rPr>
        <w:t xml:space="preserve"> are properly identified and rated</w:t>
      </w:r>
      <w:r w:rsidR="00A609CC" w:rsidRPr="00824BC0">
        <w:rPr>
          <w:bCs/>
          <w:szCs w:val="24"/>
        </w:rPr>
        <w:t>.  The GAD Director stated that one of their actions is to set the duration</w:t>
      </w:r>
      <w:r w:rsidR="009648BF" w:rsidRPr="00824BC0">
        <w:rPr>
          <w:bCs/>
          <w:szCs w:val="24"/>
        </w:rPr>
        <w:t xml:space="preserve"> to six to nine months to avoid partial or non-implementation of P</w:t>
      </w:r>
      <w:r w:rsidR="00C66595" w:rsidRPr="00824BC0">
        <w:rPr>
          <w:bCs/>
          <w:szCs w:val="24"/>
        </w:rPr>
        <w:t>AP</w:t>
      </w:r>
      <w:r w:rsidR="009648BF" w:rsidRPr="00824BC0">
        <w:rPr>
          <w:bCs/>
          <w:szCs w:val="24"/>
        </w:rPr>
        <w:t>s.  In cases where the PAP will take more than a year to implement, the activities</w:t>
      </w:r>
      <w:r w:rsidR="00094B5D" w:rsidRPr="00824BC0">
        <w:rPr>
          <w:bCs/>
          <w:szCs w:val="24"/>
        </w:rPr>
        <w:t xml:space="preserve"> involved</w:t>
      </w:r>
      <w:r w:rsidR="009648BF" w:rsidRPr="00824BC0">
        <w:rPr>
          <w:bCs/>
          <w:szCs w:val="24"/>
        </w:rPr>
        <w:t xml:space="preserve"> shall be divided into phases.</w:t>
      </w:r>
    </w:p>
    <w:p w14:paraId="5DE81561" w14:textId="4E805775" w:rsidR="00C553B5" w:rsidRPr="00824BC0" w:rsidRDefault="00C553B5" w:rsidP="00C553B5">
      <w:pPr>
        <w:pStyle w:val="ListParagraph"/>
        <w:ind w:left="0"/>
        <w:jc w:val="both"/>
        <w:rPr>
          <w:bCs/>
          <w:szCs w:val="24"/>
        </w:rPr>
      </w:pPr>
    </w:p>
    <w:p w14:paraId="6CCCD057" w14:textId="77777777" w:rsidR="0050514F" w:rsidRPr="00824BC0" w:rsidRDefault="0050514F" w:rsidP="00C553B5">
      <w:pPr>
        <w:pStyle w:val="ListParagraph"/>
        <w:ind w:left="0"/>
        <w:jc w:val="both"/>
        <w:rPr>
          <w:bCs/>
          <w:i/>
          <w:szCs w:val="24"/>
        </w:rPr>
      </w:pPr>
    </w:p>
    <w:p w14:paraId="43263CA9" w14:textId="78BFAFEB" w:rsidR="00C553B5" w:rsidRPr="00824BC0" w:rsidRDefault="00C553B5" w:rsidP="00C553B5">
      <w:pPr>
        <w:pStyle w:val="ListParagraph"/>
        <w:ind w:left="0"/>
        <w:jc w:val="both"/>
        <w:rPr>
          <w:bCs/>
          <w:i/>
          <w:szCs w:val="24"/>
        </w:rPr>
      </w:pPr>
      <w:r w:rsidRPr="00824BC0">
        <w:rPr>
          <w:bCs/>
          <w:i/>
          <w:szCs w:val="24"/>
        </w:rPr>
        <w:t>Compliance With Tax Laws</w:t>
      </w:r>
    </w:p>
    <w:p w14:paraId="24CCE7C5" w14:textId="63E43067" w:rsidR="00C553B5" w:rsidRPr="00824BC0" w:rsidRDefault="00C553B5" w:rsidP="00C553B5">
      <w:pPr>
        <w:pStyle w:val="ListParagraph"/>
        <w:ind w:left="0"/>
        <w:jc w:val="both"/>
        <w:rPr>
          <w:bCs/>
          <w:szCs w:val="24"/>
        </w:rPr>
      </w:pPr>
    </w:p>
    <w:p w14:paraId="4421D654" w14:textId="625B2CAF" w:rsidR="00C553B5" w:rsidRPr="006024A3" w:rsidRDefault="009648BF" w:rsidP="003A5945">
      <w:pPr>
        <w:pStyle w:val="ListParagraph"/>
        <w:numPr>
          <w:ilvl w:val="0"/>
          <w:numId w:val="5"/>
        </w:numPr>
        <w:ind w:left="0" w:firstLine="0"/>
        <w:jc w:val="both"/>
        <w:rPr>
          <w:b/>
          <w:i/>
          <w:iCs/>
          <w:szCs w:val="24"/>
        </w:rPr>
      </w:pPr>
      <w:r w:rsidRPr="006024A3">
        <w:rPr>
          <w:b/>
          <w:i/>
          <w:iCs/>
          <w:szCs w:val="24"/>
        </w:rPr>
        <w:t>The</w:t>
      </w:r>
      <w:r w:rsidR="00094B5D" w:rsidRPr="006024A3">
        <w:rPr>
          <w:b/>
          <w:i/>
          <w:iCs/>
          <w:szCs w:val="24"/>
        </w:rPr>
        <w:t xml:space="preserve"> College </w:t>
      </w:r>
      <w:r w:rsidRPr="006024A3">
        <w:rPr>
          <w:b/>
          <w:i/>
          <w:iCs/>
          <w:szCs w:val="24"/>
        </w:rPr>
        <w:t xml:space="preserve">substantially complied with the </w:t>
      </w:r>
      <w:r w:rsidR="008F61FC" w:rsidRPr="006024A3">
        <w:rPr>
          <w:b/>
          <w:i/>
          <w:iCs/>
          <w:szCs w:val="24"/>
        </w:rPr>
        <w:t>Bureau of Internal Revenue (</w:t>
      </w:r>
      <w:r w:rsidRPr="006024A3">
        <w:rPr>
          <w:b/>
          <w:i/>
          <w:iCs/>
          <w:szCs w:val="24"/>
        </w:rPr>
        <w:t>BIR</w:t>
      </w:r>
      <w:r w:rsidR="008F61FC" w:rsidRPr="006024A3">
        <w:rPr>
          <w:b/>
          <w:i/>
          <w:iCs/>
          <w:szCs w:val="24"/>
        </w:rPr>
        <w:t>)</w:t>
      </w:r>
      <w:r w:rsidRPr="006024A3">
        <w:rPr>
          <w:b/>
          <w:i/>
          <w:iCs/>
          <w:szCs w:val="24"/>
        </w:rPr>
        <w:t xml:space="preserve"> Regulations on the withholding of taxes and the remittance thereof within the prescribed period in conformity with Revenue Regulations </w:t>
      </w:r>
      <w:r w:rsidR="008F61FC" w:rsidRPr="006024A3">
        <w:rPr>
          <w:b/>
          <w:i/>
          <w:iCs/>
          <w:szCs w:val="24"/>
        </w:rPr>
        <w:t xml:space="preserve">(RR) </w:t>
      </w:r>
      <w:r w:rsidRPr="006024A3">
        <w:rPr>
          <w:b/>
          <w:i/>
          <w:iCs/>
          <w:szCs w:val="24"/>
        </w:rPr>
        <w:t xml:space="preserve">No. 2-98 dated April 17, 1998.  </w:t>
      </w:r>
    </w:p>
    <w:p w14:paraId="73DCF143" w14:textId="7E20985D" w:rsidR="003A5945" w:rsidRPr="00824BC0" w:rsidRDefault="003A5945" w:rsidP="003A5945">
      <w:pPr>
        <w:pStyle w:val="ListParagraph"/>
        <w:ind w:left="0"/>
        <w:jc w:val="both"/>
        <w:rPr>
          <w:b/>
          <w:szCs w:val="24"/>
        </w:rPr>
      </w:pPr>
    </w:p>
    <w:p w14:paraId="3AD2D8DE" w14:textId="5ECE11EC" w:rsidR="008F61FC" w:rsidRPr="00824BC0" w:rsidRDefault="008F61FC" w:rsidP="003A5945">
      <w:pPr>
        <w:pStyle w:val="ListParagraph"/>
        <w:numPr>
          <w:ilvl w:val="1"/>
          <w:numId w:val="5"/>
        </w:numPr>
        <w:ind w:left="0" w:firstLine="0"/>
        <w:jc w:val="both"/>
        <w:rPr>
          <w:bCs/>
          <w:szCs w:val="24"/>
        </w:rPr>
      </w:pPr>
      <w:r w:rsidRPr="00824BC0">
        <w:rPr>
          <w:bCs/>
          <w:szCs w:val="24"/>
        </w:rPr>
        <w:t>Revenue Regulation</w:t>
      </w:r>
      <w:r w:rsidR="00094B5D" w:rsidRPr="00824BC0">
        <w:rPr>
          <w:bCs/>
          <w:szCs w:val="24"/>
        </w:rPr>
        <w:t>s</w:t>
      </w:r>
      <w:r w:rsidRPr="00824BC0">
        <w:rPr>
          <w:bCs/>
          <w:szCs w:val="24"/>
        </w:rPr>
        <w:t xml:space="preserve"> (RR) No. 2-98 dated April 17, 1998 provides that all government agencies as tax withholding agents are required to remit all taxes withheld by them on or before the 10</w:t>
      </w:r>
      <w:r w:rsidRPr="00824BC0">
        <w:rPr>
          <w:bCs/>
          <w:szCs w:val="24"/>
          <w:vertAlign w:val="superscript"/>
        </w:rPr>
        <w:t>th</w:t>
      </w:r>
      <w:r w:rsidRPr="00824BC0">
        <w:rPr>
          <w:bCs/>
          <w:szCs w:val="24"/>
        </w:rPr>
        <w:t xml:space="preserve"> day of the succeeding month.</w:t>
      </w:r>
    </w:p>
    <w:p w14:paraId="4C40B748" w14:textId="77777777" w:rsidR="008F61FC" w:rsidRPr="00824BC0" w:rsidRDefault="008F61FC" w:rsidP="008F61FC">
      <w:pPr>
        <w:pStyle w:val="ListParagraph"/>
        <w:ind w:left="0"/>
        <w:jc w:val="both"/>
        <w:rPr>
          <w:bCs/>
          <w:szCs w:val="24"/>
        </w:rPr>
      </w:pPr>
    </w:p>
    <w:p w14:paraId="611A35B3" w14:textId="229272E3" w:rsidR="003A5945" w:rsidRPr="00824BC0" w:rsidRDefault="003A5945" w:rsidP="003A5945">
      <w:pPr>
        <w:pStyle w:val="ListParagraph"/>
        <w:numPr>
          <w:ilvl w:val="1"/>
          <w:numId w:val="5"/>
        </w:numPr>
        <w:ind w:left="0" w:firstLine="0"/>
        <w:jc w:val="both"/>
        <w:rPr>
          <w:bCs/>
          <w:szCs w:val="24"/>
        </w:rPr>
      </w:pPr>
      <w:r w:rsidRPr="00824BC0">
        <w:rPr>
          <w:bCs/>
          <w:szCs w:val="24"/>
        </w:rPr>
        <w:t>The Due to BIR account</w:t>
      </w:r>
      <w:r w:rsidR="008F61FC" w:rsidRPr="00824BC0">
        <w:rPr>
          <w:bCs/>
          <w:szCs w:val="24"/>
        </w:rPr>
        <w:t xml:space="preserve"> of BASC</w:t>
      </w:r>
      <w:r w:rsidRPr="00824BC0">
        <w:rPr>
          <w:bCs/>
          <w:szCs w:val="24"/>
        </w:rPr>
        <w:t xml:space="preserve"> showed a year-end balance of ₱1,459,069.64, consisting of taxes withheld on account of goods and services procured, execution of government infrastructure contracts, and employees’ compensation as of December 31, 2021.  The matri</w:t>
      </w:r>
      <w:r w:rsidR="008F61FC" w:rsidRPr="00824BC0">
        <w:rPr>
          <w:bCs/>
          <w:szCs w:val="24"/>
        </w:rPr>
        <w:t>ces</w:t>
      </w:r>
      <w:r w:rsidRPr="00824BC0">
        <w:rPr>
          <w:bCs/>
          <w:szCs w:val="24"/>
        </w:rPr>
        <w:t xml:space="preserve"> </w:t>
      </w:r>
      <w:r w:rsidR="008F61FC" w:rsidRPr="00824BC0">
        <w:rPr>
          <w:bCs/>
          <w:szCs w:val="24"/>
        </w:rPr>
        <w:t xml:space="preserve">per fund </w:t>
      </w:r>
      <w:r w:rsidRPr="00824BC0">
        <w:rPr>
          <w:bCs/>
          <w:szCs w:val="24"/>
        </w:rPr>
        <w:t xml:space="preserve">showing the amount withheld and remitted in year 2021 </w:t>
      </w:r>
      <w:r w:rsidR="008F61FC" w:rsidRPr="00824BC0">
        <w:rPr>
          <w:bCs/>
          <w:szCs w:val="24"/>
        </w:rPr>
        <w:t>are</w:t>
      </w:r>
      <w:r w:rsidRPr="00824BC0">
        <w:rPr>
          <w:bCs/>
          <w:szCs w:val="24"/>
        </w:rPr>
        <w:t xml:space="preserve"> presented below:</w:t>
      </w:r>
    </w:p>
    <w:p w14:paraId="0CCF863F" w14:textId="105DDFED" w:rsidR="003A5945" w:rsidRPr="00824BC0" w:rsidRDefault="003A5945" w:rsidP="003A5945">
      <w:pPr>
        <w:pStyle w:val="ListParagraph"/>
        <w:ind w:left="0"/>
        <w:jc w:val="both"/>
        <w:rPr>
          <w:bCs/>
          <w:szCs w:val="24"/>
        </w:rPr>
      </w:pPr>
    </w:p>
    <w:tbl>
      <w:tblPr>
        <w:tblW w:w="8725" w:type="dxa"/>
        <w:tblLook w:val="04A0" w:firstRow="1" w:lastRow="0" w:firstColumn="1" w:lastColumn="0" w:noHBand="0" w:noVBand="1"/>
      </w:tblPr>
      <w:tblGrid>
        <w:gridCol w:w="1157"/>
        <w:gridCol w:w="1494"/>
        <w:gridCol w:w="1484"/>
        <w:gridCol w:w="1494"/>
        <w:gridCol w:w="1494"/>
        <w:gridCol w:w="1602"/>
      </w:tblGrid>
      <w:tr w:rsidR="007B5E5C" w:rsidRPr="00824BC0" w14:paraId="350CD656" w14:textId="77777777" w:rsidTr="00094F5C">
        <w:trPr>
          <w:trHeight w:val="600"/>
          <w:tblHeader/>
        </w:trPr>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AF746" w14:textId="77777777" w:rsidR="00094F5C" w:rsidRPr="00824BC0" w:rsidRDefault="00094F5C" w:rsidP="00094F5C">
            <w:pPr>
              <w:spacing w:after="0" w:line="240" w:lineRule="auto"/>
              <w:jc w:val="center"/>
              <w:rPr>
                <w:rFonts w:ascii="Times New Roman" w:eastAsia="Times New Roman" w:hAnsi="Times New Roman" w:cs="Times New Roman"/>
                <w:b/>
                <w:bCs/>
                <w:color w:val="000000"/>
                <w:lang w:eastAsia="en-PH"/>
              </w:rPr>
            </w:pPr>
            <w:r w:rsidRPr="00824BC0">
              <w:rPr>
                <w:rFonts w:ascii="Times New Roman" w:eastAsia="Times New Roman" w:hAnsi="Times New Roman" w:cs="Times New Roman"/>
                <w:b/>
                <w:bCs/>
                <w:color w:val="000000"/>
                <w:lang w:eastAsia="en-PH"/>
              </w:rPr>
              <w:t xml:space="preserve">General Fund (101) </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559D1783" w14:textId="77777777" w:rsidR="00094F5C" w:rsidRPr="00824BC0" w:rsidRDefault="00094F5C" w:rsidP="00094F5C">
            <w:pPr>
              <w:spacing w:after="0" w:line="240" w:lineRule="auto"/>
              <w:jc w:val="center"/>
              <w:rPr>
                <w:rFonts w:ascii="Times New Roman" w:eastAsia="Times New Roman" w:hAnsi="Times New Roman" w:cs="Times New Roman"/>
                <w:b/>
                <w:bCs/>
                <w:color w:val="000000"/>
                <w:lang w:eastAsia="en-PH"/>
              </w:rPr>
            </w:pPr>
            <w:r w:rsidRPr="00824BC0">
              <w:rPr>
                <w:rFonts w:ascii="Times New Roman" w:eastAsia="Times New Roman" w:hAnsi="Times New Roman" w:cs="Times New Roman"/>
                <w:b/>
                <w:bCs/>
                <w:color w:val="000000"/>
                <w:lang w:eastAsia="en-PH"/>
              </w:rPr>
              <w:t xml:space="preserve"> Beginning Balance </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069BE9B0" w14:textId="77777777" w:rsidR="00094F5C" w:rsidRPr="00824BC0" w:rsidRDefault="00094F5C" w:rsidP="00094F5C">
            <w:pPr>
              <w:spacing w:after="0" w:line="240" w:lineRule="auto"/>
              <w:jc w:val="center"/>
              <w:rPr>
                <w:rFonts w:ascii="Times New Roman" w:eastAsia="Times New Roman" w:hAnsi="Times New Roman" w:cs="Times New Roman"/>
                <w:b/>
                <w:bCs/>
                <w:color w:val="000000"/>
                <w:lang w:eastAsia="en-PH"/>
              </w:rPr>
            </w:pPr>
            <w:r w:rsidRPr="00824BC0">
              <w:rPr>
                <w:rFonts w:ascii="Times New Roman" w:eastAsia="Times New Roman" w:hAnsi="Times New Roman" w:cs="Times New Roman"/>
                <w:b/>
                <w:bCs/>
                <w:color w:val="000000"/>
                <w:lang w:eastAsia="en-PH"/>
              </w:rPr>
              <w:t xml:space="preserve"> Taxes Withheld </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2660CA66" w14:textId="0B6857A5" w:rsidR="00094F5C" w:rsidRPr="00824BC0" w:rsidRDefault="00094F5C" w:rsidP="00094F5C">
            <w:pPr>
              <w:spacing w:after="0" w:line="240" w:lineRule="auto"/>
              <w:jc w:val="center"/>
              <w:rPr>
                <w:rFonts w:ascii="Times New Roman" w:eastAsia="Times New Roman" w:hAnsi="Times New Roman" w:cs="Times New Roman"/>
                <w:b/>
                <w:bCs/>
                <w:color w:val="000000"/>
                <w:lang w:eastAsia="en-PH"/>
              </w:rPr>
            </w:pPr>
            <w:r w:rsidRPr="00824BC0">
              <w:rPr>
                <w:rFonts w:ascii="Times New Roman" w:eastAsia="Times New Roman" w:hAnsi="Times New Roman" w:cs="Times New Roman"/>
                <w:b/>
                <w:bCs/>
                <w:color w:val="000000"/>
                <w:lang w:eastAsia="en-PH"/>
              </w:rPr>
              <w:t xml:space="preserve"> Total </w:t>
            </w:r>
            <w:r w:rsidR="00094B5D" w:rsidRPr="00824BC0">
              <w:rPr>
                <w:rFonts w:ascii="Times New Roman" w:eastAsia="Times New Roman" w:hAnsi="Times New Roman" w:cs="Times New Roman"/>
                <w:b/>
                <w:bCs/>
                <w:color w:val="000000"/>
                <w:lang w:eastAsia="en-PH"/>
              </w:rPr>
              <w:t>For Remittance</w:t>
            </w:r>
            <w:r w:rsidRPr="00824BC0">
              <w:rPr>
                <w:rFonts w:ascii="Times New Roman" w:eastAsia="Times New Roman" w:hAnsi="Times New Roman" w:cs="Times New Roman"/>
                <w:b/>
                <w:bCs/>
                <w:color w:val="000000"/>
                <w:lang w:eastAsia="en-PH"/>
              </w:rPr>
              <w:t xml:space="preserve"> </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6A416D24" w14:textId="77777777" w:rsidR="00094F5C" w:rsidRPr="00824BC0" w:rsidRDefault="00094F5C" w:rsidP="00094F5C">
            <w:pPr>
              <w:spacing w:after="0" w:line="240" w:lineRule="auto"/>
              <w:jc w:val="center"/>
              <w:rPr>
                <w:rFonts w:ascii="Times New Roman" w:eastAsia="Times New Roman" w:hAnsi="Times New Roman" w:cs="Times New Roman"/>
                <w:b/>
                <w:bCs/>
                <w:color w:val="000000"/>
                <w:lang w:eastAsia="en-PH"/>
              </w:rPr>
            </w:pPr>
            <w:r w:rsidRPr="00824BC0">
              <w:rPr>
                <w:rFonts w:ascii="Times New Roman" w:eastAsia="Times New Roman" w:hAnsi="Times New Roman" w:cs="Times New Roman"/>
                <w:b/>
                <w:bCs/>
                <w:color w:val="000000"/>
                <w:lang w:eastAsia="en-PH"/>
              </w:rPr>
              <w:t xml:space="preserve"> Taxes Remitted </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6B04DFDB" w14:textId="77777777" w:rsidR="00094F5C" w:rsidRPr="00824BC0" w:rsidRDefault="00094F5C" w:rsidP="00094F5C">
            <w:pPr>
              <w:spacing w:after="0" w:line="240" w:lineRule="auto"/>
              <w:jc w:val="center"/>
              <w:rPr>
                <w:rFonts w:ascii="Times New Roman" w:eastAsia="Times New Roman" w:hAnsi="Times New Roman" w:cs="Times New Roman"/>
                <w:b/>
                <w:bCs/>
                <w:color w:val="000000"/>
                <w:lang w:eastAsia="en-PH"/>
              </w:rPr>
            </w:pPr>
            <w:r w:rsidRPr="00824BC0">
              <w:rPr>
                <w:rFonts w:ascii="Times New Roman" w:eastAsia="Times New Roman" w:hAnsi="Times New Roman" w:cs="Times New Roman"/>
                <w:b/>
                <w:bCs/>
                <w:color w:val="000000"/>
                <w:lang w:eastAsia="en-PH"/>
              </w:rPr>
              <w:t xml:space="preserve"> Ending Balance </w:t>
            </w:r>
          </w:p>
        </w:tc>
      </w:tr>
      <w:tr w:rsidR="007B5E5C" w:rsidRPr="00824BC0" w14:paraId="6E6EFDEF" w14:textId="77777777" w:rsidTr="00094F5C">
        <w:trPr>
          <w:trHeight w:val="30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48876BCC" w14:textId="77777777" w:rsidR="00094F5C" w:rsidRPr="00824BC0" w:rsidRDefault="00094F5C" w:rsidP="00094F5C">
            <w:pPr>
              <w:spacing w:after="0" w:line="240" w:lineRule="auto"/>
              <w:jc w:val="center"/>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2021</w:t>
            </w:r>
          </w:p>
        </w:tc>
        <w:tc>
          <w:tcPr>
            <w:tcW w:w="1494" w:type="dxa"/>
            <w:tcBorders>
              <w:top w:val="nil"/>
              <w:left w:val="nil"/>
              <w:bottom w:val="single" w:sz="4" w:space="0" w:color="auto"/>
              <w:right w:val="single" w:sz="4" w:space="0" w:color="auto"/>
            </w:tcBorders>
            <w:shd w:val="clear" w:color="auto" w:fill="auto"/>
            <w:vAlign w:val="center"/>
            <w:hideMark/>
          </w:tcPr>
          <w:p w14:paraId="0E3F40B0" w14:textId="77777777" w:rsidR="00094F5C" w:rsidRPr="00824BC0" w:rsidRDefault="00094F5C" w:rsidP="00094F5C">
            <w:pPr>
              <w:spacing w:after="0" w:line="240" w:lineRule="auto"/>
              <w:jc w:val="center"/>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w:t>
            </w:r>
          </w:p>
        </w:tc>
        <w:tc>
          <w:tcPr>
            <w:tcW w:w="1484" w:type="dxa"/>
            <w:tcBorders>
              <w:top w:val="nil"/>
              <w:left w:val="nil"/>
              <w:bottom w:val="single" w:sz="4" w:space="0" w:color="auto"/>
              <w:right w:val="single" w:sz="4" w:space="0" w:color="auto"/>
            </w:tcBorders>
            <w:shd w:val="clear" w:color="auto" w:fill="auto"/>
            <w:vAlign w:val="center"/>
            <w:hideMark/>
          </w:tcPr>
          <w:p w14:paraId="2BA14FAB" w14:textId="77777777" w:rsidR="00094F5C" w:rsidRPr="00824BC0" w:rsidRDefault="00094F5C" w:rsidP="00094F5C">
            <w:pPr>
              <w:spacing w:after="0" w:line="240" w:lineRule="auto"/>
              <w:jc w:val="center"/>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w:t>
            </w:r>
          </w:p>
        </w:tc>
        <w:tc>
          <w:tcPr>
            <w:tcW w:w="1494" w:type="dxa"/>
            <w:tcBorders>
              <w:top w:val="nil"/>
              <w:left w:val="nil"/>
              <w:bottom w:val="single" w:sz="4" w:space="0" w:color="auto"/>
              <w:right w:val="single" w:sz="4" w:space="0" w:color="auto"/>
            </w:tcBorders>
            <w:shd w:val="clear" w:color="auto" w:fill="auto"/>
            <w:vAlign w:val="center"/>
            <w:hideMark/>
          </w:tcPr>
          <w:p w14:paraId="667A21A5" w14:textId="77777777" w:rsidR="00094F5C" w:rsidRPr="00824BC0" w:rsidRDefault="00094F5C" w:rsidP="00094F5C">
            <w:pPr>
              <w:spacing w:after="0" w:line="240" w:lineRule="auto"/>
              <w:jc w:val="center"/>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w:t>
            </w:r>
          </w:p>
        </w:tc>
        <w:tc>
          <w:tcPr>
            <w:tcW w:w="1494" w:type="dxa"/>
            <w:tcBorders>
              <w:top w:val="nil"/>
              <w:left w:val="nil"/>
              <w:bottom w:val="single" w:sz="4" w:space="0" w:color="auto"/>
              <w:right w:val="single" w:sz="4" w:space="0" w:color="auto"/>
            </w:tcBorders>
            <w:shd w:val="clear" w:color="auto" w:fill="auto"/>
            <w:vAlign w:val="center"/>
            <w:hideMark/>
          </w:tcPr>
          <w:p w14:paraId="76699E90" w14:textId="77777777" w:rsidR="00094F5C" w:rsidRPr="00824BC0" w:rsidRDefault="00094F5C" w:rsidP="00094F5C">
            <w:pPr>
              <w:spacing w:after="0" w:line="240" w:lineRule="auto"/>
              <w:jc w:val="center"/>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w:t>
            </w:r>
          </w:p>
        </w:tc>
        <w:tc>
          <w:tcPr>
            <w:tcW w:w="1602" w:type="dxa"/>
            <w:tcBorders>
              <w:top w:val="nil"/>
              <w:left w:val="nil"/>
              <w:bottom w:val="single" w:sz="4" w:space="0" w:color="auto"/>
              <w:right w:val="single" w:sz="4" w:space="0" w:color="auto"/>
            </w:tcBorders>
            <w:shd w:val="clear" w:color="auto" w:fill="auto"/>
            <w:vAlign w:val="center"/>
            <w:hideMark/>
          </w:tcPr>
          <w:p w14:paraId="4CF50288" w14:textId="77777777" w:rsidR="00094F5C" w:rsidRPr="00824BC0" w:rsidRDefault="00094F5C" w:rsidP="00094F5C">
            <w:pPr>
              <w:spacing w:after="0" w:line="240" w:lineRule="auto"/>
              <w:jc w:val="center"/>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w:t>
            </w:r>
          </w:p>
        </w:tc>
      </w:tr>
      <w:tr w:rsidR="007B5E5C" w:rsidRPr="00824BC0" w14:paraId="711F9D77" w14:textId="77777777" w:rsidTr="00094F5C">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3310B48F" w14:textId="4A1BC007" w:rsidR="00094F5C" w:rsidRPr="00824BC0" w:rsidRDefault="00094F5C" w:rsidP="007B5E5C">
            <w:pPr>
              <w:spacing w:after="0" w:line="240" w:lineRule="auto"/>
              <w:ind w:left="-30"/>
              <w:jc w:val="both"/>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January </w:t>
            </w:r>
          </w:p>
        </w:tc>
        <w:tc>
          <w:tcPr>
            <w:tcW w:w="1494" w:type="dxa"/>
            <w:tcBorders>
              <w:top w:val="nil"/>
              <w:left w:val="nil"/>
              <w:bottom w:val="single" w:sz="4" w:space="0" w:color="auto"/>
              <w:right w:val="single" w:sz="4" w:space="0" w:color="auto"/>
            </w:tcBorders>
            <w:shd w:val="clear" w:color="auto" w:fill="auto"/>
            <w:noWrap/>
            <w:vAlign w:val="bottom"/>
            <w:hideMark/>
          </w:tcPr>
          <w:p w14:paraId="22EB99CF" w14:textId="22C33E78"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₱1,505,293.14 </w:t>
            </w:r>
          </w:p>
        </w:tc>
        <w:tc>
          <w:tcPr>
            <w:tcW w:w="1484" w:type="dxa"/>
            <w:tcBorders>
              <w:top w:val="nil"/>
              <w:left w:val="nil"/>
              <w:bottom w:val="single" w:sz="4" w:space="0" w:color="auto"/>
              <w:right w:val="single" w:sz="4" w:space="0" w:color="auto"/>
            </w:tcBorders>
            <w:shd w:val="clear" w:color="auto" w:fill="auto"/>
            <w:noWrap/>
            <w:vAlign w:val="bottom"/>
            <w:hideMark/>
          </w:tcPr>
          <w:p w14:paraId="43785518" w14:textId="1F30795B"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  692,061.92 </w:t>
            </w:r>
          </w:p>
        </w:tc>
        <w:tc>
          <w:tcPr>
            <w:tcW w:w="1494" w:type="dxa"/>
            <w:tcBorders>
              <w:top w:val="nil"/>
              <w:left w:val="nil"/>
              <w:bottom w:val="single" w:sz="4" w:space="0" w:color="auto"/>
              <w:right w:val="single" w:sz="4" w:space="0" w:color="auto"/>
            </w:tcBorders>
            <w:shd w:val="clear" w:color="auto" w:fill="auto"/>
            <w:noWrap/>
            <w:vAlign w:val="bottom"/>
            <w:hideMark/>
          </w:tcPr>
          <w:p w14:paraId="7A654AB7" w14:textId="374454CD"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₱2,197,355.06 </w:t>
            </w:r>
          </w:p>
        </w:tc>
        <w:tc>
          <w:tcPr>
            <w:tcW w:w="1494" w:type="dxa"/>
            <w:tcBorders>
              <w:top w:val="nil"/>
              <w:left w:val="nil"/>
              <w:bottom w:val="single" w:sz="4" w:space="0" w:color="auto"/>
              <w:right w:val="single" w:sz="4" w:space="0" w:color="auto"/>
            </w:tcBorders>
            <w:shd w:val="clear" w:color="auto" w:fill="auto"/>
            <w:noWrap/>
            <w:vAlign w:val="bottom"/>
            <w:hideMark/>
          </w:tcPr>
          <w:p w14:paraId="1AF035E2" w14:textId="149573DD"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₱1,505,293.14 </w:t>
            </w:r>
          </w:p>
        </w:tc>
        <w:tc>
          <w:tcPr>
            <w:tcW w:w="1602" w:type="dxa"/>
            <w:tcBorders>
              <w:top w:val="nil"/>
              <w:left w:val="nil"/>
              <w:bottom w:val="single" w:sz="4" w:space="0" w:color="auto"/>
              <w:right w:val="single" w:sz="4" w:space="0" w:color="auto"/>
            </w:tcBorders>
            <w:shd w:val="clear" w:color="auto" w:fill="auto"/>
            <w:noWrap/>
            <w:vAlign w:val="bottom"/>
            <w:hideMark/>
          </w:tcPr>
          <w:p w14:paraId="0C4FEC0E" w14:textId="479DABB4"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  692,061.92 </w:t>
            </w:r>
          </w:p>
        </w:tc>
      </w:tr>
      <w:tr w:rsidR="007B5E5C" w:rsidRPr="00824BC0" w14:paraId="4B2689AC" w14:textId="77777777" w:rsidTr="00094F5C">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64E8C9E7" w14:textId="25A2B572" w:rsidR="00094F5C" w:rsidRPr="00824BC0" w:rsidRDefault="00094F5C" w:rsidP="007B5E5C">
            <w:pPr>
              <w:spacing w:after="0" w:line="240" w:lineRule="auto"/>
              <w:ind w:left="-30"/>
              <w:jc w:val="both"/>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February </w:t>
            </w:r>
          </w:p>
        </w:tc>
        <w:tc>
          <w:tcPr>
            <w:tcW w:w="1494" w:type="dxa"/>
            <w:tcBorders>
              <w:top w:val="nil"/>
              <w:left w:val="nil"/>
              <w:bottom w:val="single" w:sz="4" w:space="0" w:color="auto"/>
              <w:right w:val="single" w:sz="4" w:space="0" w:color="auto"/>
            </w:tcBorders>
            <w:shd w:val="clear" w:color="auto" w:fill="auto"/>
            <w:noWrap/>
            <w:vAlign w:val="bottom"/>
            <w:hideMark/>
          </w:tcPr>
          <w:p w14:paraId="51967D81" w14:textId="374059A3"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692,061.92 </w:t>
            </w:r>
          </w:p>
        </w:tc>
        <w:tc>
          <w:tcPr>
            <w:tcW w:w="1484" w:type="dxa"/>
            <w:tcBorders>
              <w:top w:val="nil"/>
              <w:left w:val="nil"/>
              <w:bottom w:val="single" w:sz="4" w:space="0" w:color="auto"/>
              <w:right w:val="single" w:sz="4" w:space="0" w:color="auto"/>
            </w:tcBorders>
            <w:shd w:val="clear" w:color="auto" w:fill="auto"/>
            <w:noWrap/>
            <w:vAlign w:val="bottom"/>
            <w:hideMark/>
          </w:tcPr>
          <w:p w14:paraId="1559AEDC" w14:textId="3ABB861A"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941,385.68 </w:t>
            </w:r>
          </w:p>
        </w:tc>
        <w:tc>
          <w:tcPr>
            <w:tcW w:w="1494" w:type="dxa"/>
            <w:tcBorders>
              <w:top w:val="nil"/>
              <w:left w:val="nil"/>
              <w:bottom w:val="single" w:sz="4" w:space="0" w:color="auto"/>
              <w:right w:val="single" w:sz="4" w:space="0" w:color="auto"/>
            </w:tcBorders>
            <w:shd w:val="clear" w:color="auto" w:fill="auto"/>
            <w:noWrap/>
            <w:vAlign w:val="bottom"/>
            <w:hideMark/>
          </w:tcPr>
          <w:p w14:paraId="2C95DE1A" w14:textId="47145CA6"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1,633,447.60 </w:t>
            </w:r>
          </w:p>
        </w:tc>
        <w:tc>
          <w:tcPr>
            <w:tcW w:w="1494" w:type="dxa"/>
            <w:tcBorders>
              <w:top w:val="nil"/>
              <w:left w:val="nil"/>
              <w:bottom w:val="single" w:sz="4" w:space="0" w:color="auto"/>
              <w:right w:val="single" w:sz="4" w:space="0" w:color="auto"/>
            </w:tcBorders>
            <w:shd w:val="clear" w:color="auto" w:fill="auto"/>
            <w:noWrap/>
            <w:vAlign w:val="bottom"/>
            <w:hideMark/>
          </w:tcPr>
          <w:p w14:paraId="0C765D6C" w14:textId="733337E6"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692,061.92 </w:t>
            </w:r>
          </w:p>
        </w:tc>
        <w:tc>
          <w:tcPr>
            <w:tcW w:w="1602" w:type="dxa"/>
            <w:tcBorders>
              <w:top w:val="nil"/>
              <w:left w:val="nil"/>
              <w:bottom w:val="single" w:sz="4" w:space="0" w:color="auto"/>
              <w:right w:val="single" w:sz="4" w:space="0" w:color="auto"/>
            </w:tcBorders>
            <w:shd w:val="clear" w:color="auto" w:fill="auto"/>
            <w:noWrap/>
            <w:vAlign w:val="bottom"/>
            <w:hideMark/>
          </w:tcPr>
          <w:p w14:paraId="33EAA0C6" w14:textId="0EF46C77"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941,385.68 </w:t>
            </w:r>
          </w:p>
        </w:tc>
      </w:tr>
      <w:tr w:rsidR="007B5E5C" w:rsidRPr="00824BC0" w14:paraId="6CCD438D" w14:textId="77777777" w:rsidTr="00094F5C">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207C58BD" w14:textId="6E179547" w:rsidR="00094F5C" w:rsidRPr="00824BC0" w:rsidRDefault="00094F5C" w:rsidP="007B5E5C">
            <w:pPr>
              <w:spacing w:after="0" w:line="240" w:lineRule="auto"/>
              <w:ind w:left="-30"/>
              <w:jc w:val="both"/>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March </w:t>
            </w:r>
          </w:p>
        </w:tc>
        <w:tc>
          <w:tcPr>
            <w:tcW w:w="1494" w:type="dxa"/>
            <w:tcBorders>
              <w:top w:val="nil"/>
              <w:left w:val="nil"/>
              <w:bottom w:val="single" w:sz="4" w:space="0" w:color="auto"/>
              <w:right w:val="single" w:sz="4" w:space="0" w:color="auto"/>
            </w:tcBorders>
            <w:shd w:val="clear" w:color="auto" w:fill="auto"/>
            <w:noWrap/>
            <w:vAlign w:val="bottom"/>
            <w:hideMark/>
          </w:tcPr>
          <w:p w14:paraId="5D65088D" w14:textId="51F1D916"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941,385.68 </w:t>
            </w:r>
          </w:p>
        </w:tc>
        <w:tc>
          <w:tcPr>
            <w:tcW w:w="1484" w:type="dxa"/>
            <w:tcBorders>
              <w:top w:val="nil"/>
              <w:left w:val="nil"/>
              <w:bottom w:val="single" w:sz="4" w:space="0" w:color="auto"/>
              <w:right w:val="single" w:sz="4" w:space="0" w:color="auto"/>
            </w:tcBorders>
            <w:shd w:val="clear" w:color="auto" w:fill="auto"/>
            <w:noWrap/>
            <w:vAlign w:val="bottom"/>
            <w:hideMark/>
          </w:tcPr>
          <w:p w14:paraId="0805E46A" w14:textId="46220240"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1,061,923.97 </w:t>
            </w:r>
          </w:p>
        </w:tc>
        <w:tc>
          <w:tcPr>
            <w:tcW w:w="1494" w:type="dxa"/>
            <w:tcBorders>
              <w:top w:val="nil"/>
              <w:left w:val="nil"/>
              <w:bottom w:val="single" w:sz="4" w:space="0" w:color="auto"/>
              <w:right w:val="single" w:sz="4" w:space="0" w:color="auto"/>
            </w:tcBorders>
            <w:shd w:val="clear" w:color="auto" w:fill="auto"/>
            <w:noWrap/>
            <w:vAlign w:val="bottom"/>
            <w:hideMark/>
          </w:tcPr>
          <w:p w14:paraId="65186C28" w14:textId="21BD2240"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2,003,309.65 </w:t>
            </w:r>
          </w:p>
        </w:tc>
        <w:tc>
          <w:tcPr>
            <w:tcW w:w="1494" w:type="dxa"/>
            <w:tcBorders>
              <w:top w:val="nil"/>
              <w:left w:val="nil"/>
              <w:bottom w:val="single" w:sz="4" w:space="0" w:color="auto"/>
              <w:right w:val="single" w:sz="4" w:space="0" w:color="auto"/>
            </w:tcBorders>
            <w:shd w:val="clear" w:color="auto" w:fill="auto"/>
            <w:noWrap/>
            <w:vAlign w:val="bottom"/>
            <w:hideMark/>
          </w:tcPr>
          <w:p w14:paraId="74FA1677" w14:textId="6FD7B249"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941,385.68 </w:t>
            </w:r>
          </w:p>
        </w:tc>
        <w:tc>
          <w:tcPr>
            <w:tcW w:w="1602" w:type="dxa"/>
            <w:tcBorders>
              <w:top w:val="nil"/>
              <w:left w:val="nil"/>
              <w:bottom w:val="single" w:sz="4" w:space="0" w:color="auto"/>
              <w:right w:val="single" w:sz="4" w:space="0" w:color="auto"/>
            </w:tcBorders>
            <w:shd w:val="clear" w:color="auto" w:fill="auto"/>
            <w:noWrap/>
            <w:vAlign w:val="bottom"/>
            <w:hideMark/>
          </w:tcPr>
          <w:p w14:paraId="393CCE90" w14:textId="40DF8DD6"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1,061,923.97 </w:t>
            </w:r>
          </w:p>
        </w:tc>
      </w:tr>
      <w:tr w:rsidR="007B5E5C" w:rsidRPr="00824BC0" w14:paraId="303C4C2E" w14:textId="77777777" w:rsidTr="00094F5C">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19A55EE1" w14:textId="19C6ADD8" w:rsidR="00094F5C" w:rsidRPr="00824BC0" w:rsidRDefault="00094F5C" w:rsidP="007B5E5C">
            <w:pPr>
              <w:spacing w:after="0" w:line="240" w:lineRule="auto"/>
              <w:ind w:left="-30"/>
              <w:jc w:val="both"/>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April </w:t>
            </w:r>
          </w:p>
        </w:tc>
        <w:tc>
          <w:tcPr>
            <w:tcW w:w="1494" w:type="dxa"/>
            <w:tcBorders>
              <w:top w:val="nil"/>
              <w:left w:val="nil"/>
              <w:bottom w:val="single" w:sz="4" w:space="0" w:color="auto"/>
              <w:right w:val="single" w:sz="4" w:space="0" w:color="auto"/>
            </w:tcBorders>
            <w:shd w:val="clear" w:color="auto" w:fill="auto"/>
            <w:noWrap/>
            <w:vAlign w:val="bottom"/>
            <w:hideMark/>
          </w:tcPr>
          <w:p w14:paraId="78358B84" w14:textId="5B511332"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1,061,923.97 </w:t>
            </w:r>
          </w:p>
        </w:tc>
        <w:tc>
          <w:tcPr>
            <w:tcW w:w="1484" w:type="dxa"/>
            <w:tcBorders>
              <w:top w:val="nil"/>
              <w:left w:val="nil"/>
              <w:bottom w:val="single" w:sz="4" w:space="0" w:color="auto"/>
              <w:right w:val="single" w:sz="4" w:space="0" w:color="auto"/>
            </w:tcBorders>
            <w:shd w:val="clear" w:color="auto" w:fill="auto"/>
            <w:noWrap/>
            <w:vAlign w:val="bottom"/>
            <w:hideMark/>
          </w:tcPr>
          <w:p w14:paraId="3936467B" w14:textId="505A57CE"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1,056,812.71 </w:t>
            </w:r>
          </w:p>
        </w:tc>
        <w:tc>
          <w:tcPr>
            <w:tcW w:w="1494" w:type="dxa"/>
            <w:tcBorders>
              <w:top w:val="nil"/>
              <w:left w:val="nil"/>
              <w:bottom w:val="single" w:sz="4" w:space="0" w:color="auto"/>
              <w:right w:val="single" w:sz="4" w:space="0" w:color="auto"/>
            </w:tcBorders>
            <w:shd w:val="clear" w:color="auto" w:fill="auto"/>
            <w:noWrap/>
            <w:vAlign w:val="bottom"/>
            <w:hideMark/>
          </w:tcPr>
          <w:p w14:paraId="723ABC84" w14:textId="34E7503B"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2,118,736.68 </w:t>
            </w:r>
          </w:p>
        </w:tc>
        <w:tc>
          <w:tcPr>
            <w:tcW w:w="1494" w:type="dxa"/>
            <w:tcBorders>
              <w:top w:val="nil"/>
              <w:left w:val="nil"/>
              <w:bottom w:val="single" w:sz="4" w:space="0" w:color="auto"/>
              <w:right w:val="single" w:sz="4" w:space="0" w:color="auto"/>
            </w:tcBorders>
            <w:shd w:val="clear" w:color="auto" w:fill="auto"/>
            <w:noWrap/>
            <w:vAlign w:val="bottom"/>
            <w:hideMark/>
          </w:tcPr>
          <w:p w14:paraId="525EFA01" w14:textId="28FDAB78"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1,061,923.97 </w:t>
            </w:r>
          </w:p>
        </w:tc>
        <w:tc>
          <w:tcPr>
            <w:tcW w:w="1602" w:type="dxa"/>
            <w:tcBorders>
              <w:top w:val="nil"/>
              <w:left w:val="nil"/>
              <w:bottom w:val="single" w:sz="4" w:space="0" w:color="auto"/>
              <w:right w:val="single" w:sz="4" w:space="0" w:color="auto"/>
            </w:tcBorders>
            <w:shd w:val="clear" w:color="auto" w:fill="auto"/>
            <w:noWrap/>
            <w:vAlign w:val="bottom"/>
            <w:hideMark/>
          </w:tcPr>
          <w:p w14:paraId="20A9E17D" w14:textId="26A7F1BD"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1,056,812.71 </w:t>
            </w:r>
          </w:p>
        </w:tc>
      </w:tr>
      <w:tr w:rsidR="007B5E5C" w:rsidRPr="00824BC0" w14:paraId="0F9B4617" w14:textId="77777777" w:rsidTr="00094F5C">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14435D66" w14:textId="7608046B" w:rsidR="00094F5C" w:rsidRPr="00824BC0" w:rsidRDefault="00094F5C" w:rsidP="007B5E5C">
            <w:pPr>
              <w:spacing w:after="0" w:line="240" w:lineRule="auto"/>
              <w:ind w:left="-30"/>
              <w:jc w:val="both"/>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May </w:t>
            </w:r>
          </w:p>
        </w:tc>
        <w:tc>
          <w:tcPr>
            <w:tcW w:w="1494" w:type="dxa"/>
            <w:tcBorders>
              <w:top w:val="nil"/>
              <w:left w:val="nil"/>
              <w:bottom w:val="single" w:sz="4" w:space="0" w:color="auto"/>
              <w:right w:val="single" w:sz="4" w:space="0" w:color="auto"/>
            </w:tcBorders>
            <w:shd w:val="clear" w:color="auto" w:fill="auto"/>
            <w:noWrap/>
            <w:vAlign w:val="bottom"/>
            <w:hideMark/>
          </w:tcPr>
          <w:p w14:paraId="7762DFFA" w14:textId="13F19CA8"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1,056,812.71 </w:t>
            </w:r>
          </w:p>
        </w:tc>
        <w:tc>
          <w:tcPr>
            <w:tcW w:w="1484" w:type="dxa"/>
            <w:tcBorders>
              <w:top w:val="nil"/>
              <w:left w:val="nil"/>
              <w:bottom w:val="single" w:sz="4" w:space="0" w:color="auto"/>
              <w:right w:val="single" w:sz="4" w:space="0" w:color="auto"/>
            </w:tcBorders>
            <w:shd w:val="clear" w:color="auto" w:fill="auto"/>
            <w:noWrap/>
            <w:vAlign w:val="bottom"/>
            <w:hideMark/>
          </w:tcPr>
          <w:p w14:paraId="2737766E" w14:textId="371386F7"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969,485.92 </w:t>
            </w:r>
          </w:p>
        </w:tc>
        <w:tc>
          <w:tcPr>
            <w:tcW w:w="1494" w:type="dxa"/>
            <w:tcBorders>
              <w:top w:val="nil"/>
              <w:left w:val="nil"/>
              <w:bottom w:val="single" w:sz="4" w:space="0" w:color="auto"/>
              <w:right w:val="single" w:sz="4" w:space="0" w:color="auto"/>
            </w:tcBorders>
            <w:shd w:val="clear" w:color="auto" w:fill="auto"/>
            <w:noWrap/>
            <w:vAlign w:val="bottom"/>
            <w:hideMark/>
          </w:tcPr>
          <w:p w14:paraId="15C71023" w14:textId="032D7279"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2,026,298.63 </w:t>
            </w:r>
          </w:p>
        </w:tc>
        <w:tc>
          <w:tcPr>
            <w:tcW w:w="1494" w:type="dxa"/>
            <w:tcBorders>
              <w:top w:val="nil"/>
              <w:left w:val="nil"/>
              <w:bottom w:val="single" w:sz="4" w:space="0" w:color="auto"/>
              <w:right w:val="single" w:sz="4" w:space="0" w:color="auto"/>
            </w:tcBorders>
            <w:shd w:val="clear" w:color="auto" w:fill="auto"/>
            <w:noWrap/>
            <w:vAlign w:val="bottom"/>
            <w:hideMark/>
          </w:tcPr>
          <w:p w14:paraId="10C2CEB5" w14:textId="018D3D0A"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1,056,812.71 </w:t>
            </w:r>
          </w:p>
        </w:tc>
        <w:tc>
          <w:tcPr>
            <w:tcW w:w="1602" w:type="dxa"/>
            <w:tcBorders>
              <w:top w:val="nil"/>
              <w:left w:val="nil"/>
              <w:bottom w:val="single" w:sz="4" w:space="0" w:color="auto"/>
              <w:right w:val="single" w:sz="4" w:space="0" w:color="auto"/>
            </w:tcBorders>
            <w:shd w:val="clear" w:color="auto" w:fill="auto"/>
            <w:noWrap/>
            <w:vAlign w:val="bottom"/>
            <w:hideMark/>
          </w:tcPr>
          <w:p w14:paraId="1C80ADE1" w14:textId="226B5B24"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969,485.92 </w:t>
            </w:r>
          </w:p>
        </w:tc>
      </w:tr>
      <w:tr w:rsidR="007B5E5C" w:rsidRPr="00824BC0" w14:paraId="4E0DF233" w14:textId="77777777" w:rsidTr="00094F5C">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52DCA06B" w14:textId="2C9E6B9E" w:rsidR="00094F5C" w:rsidRPr="00824BC0" w:rsidRDefault="00094F5C" w:rsidP="007B5E5C">
            <w:pPr>
              <w:spacing w:after="0" w:line="240" w:lineRule="auto"/>
              <w:ind w:left="-30"/>
              <w:jc w:val="both"/>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June </w:t>
            </w:r>
          </w:p>
        </w:tc>
        <w:tc>
          <w:tcPr>
            <w:tcW w:w="1494" w:type="dxa"/>
            <w:tcBorders>
              <w:top w:val="nil"/>
              <w:left w:val="nil"/>
              <w:bottom w:val="single" w:sz="4" w:space="0" w:color="auto"/>
              <w:right w:val="single" w:sz="4" w:space="0" w:color="auto"/>
            </w:tcBorders>
            <w:shd w:val="clear" w:color="auto" w:fill="auto"/>
            <w:noWrap/>
            <w:vAlign w:val="bottom"/>
            <w:hideMark/>
          </w:tcPr>
          <w:p w14:paraId="75030E52" w14:textId="0B942887"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969,485.92 </w:t>
            </w:r>
          </w:p>
        </w:tc>
        <w:tc>
          <w:tcPr>
            <w:tcW w:w="1484" w:type="dxa"/>
            <w:tcBorders>
              <w:top w:val="nil"/>
              <w:left w:val="nil"/>
              <w:bottom w:val="single" w:sz="4" w:space="0" w:color="auto"/>
              <w:right w:val="single" w:sz="4" w:space="0" w:color="auto"/>
            </w:tcBorders>
            <w:shd w:val="clear" w:color="auto" w:fill="auto"/>
            <w:noWrap/>
            <w:vAlign w:val="bottom"/>
            <w:hideMark/>
          </w:tcPr>
          <w:p w14:paraId="11495DBF" w14:textId="4DE36912"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1,860,459.75 </w:t>
            </w:r>
          </w:p>
        </w:tc>
        <w:tc>
          <w:tcPr>
            <w:tcW w:w="1494" w:type="dxa"/>
            <w:tcBorders>
              <w:top w:val="nil"/>
              <w:left w:val="nil"/>
              <w:bottom w:val="single" w:sz="4" w:space="0" w:color="auto"/>
              <w:right w:val="single" w:sz="4" w:space="0" w:color="auto"/>
            </w:tcBorders>
            <w:shd w:val="clear" w:color="auto" w:fill="auto"/>
            <w:noWrap/>
            <w:vAlign w:val="bottom"/>
            <w:hideMark/>
          </w:tcPr>
          <w:p w14:paraId="469E28E6" w14:textId="2842A534"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2,829,945.67 </w:t>
            </w:r>
          </w:p>
        </w:tc>
        <w:tc>
          <w:tcPr>
            <w:tcW w:w="1494" w:type="dxa"/>
            <w:tcBorders>
              <w:top w:val="nil"/>
              <w:left w:val="nil"/>
              <w:bottom w:val="single" w:sz="4" w:space="0" w:color="auto"/>
              <w:right w:val="single" w:sz="4" w:space="0" w:color="auto"/>
            </w:tcBorders>
            <w:shd w:val="clear" w:color="auto" w:fill="auto"/>
            <w:noWrap/>
            <w:vAlign w:val="bottom"/>
            <w:hideMark/>
          </w:tcPr>
          <w:p w14:paraId="3C93E874" w14:textId="1FC88CF7"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969,485.92 </w:t>
            </w:r>
          </w:p>
        </w:tc>
        <w:tc>
          <w:tcPr>
            <w:tcW w:w="1602" w:type="dxa"/>
            <w:tcBorders>
              <w:top w:val="nil"/>
              <w:left w:val="nil"/>
              <w:bottom w:val="single" w:sz="4" w:space="0" w:color="auto"/>
              <w:right w:val="single" w:sz="4" w:space="0" w:color="auto"/>
            </w:tcBorders>
            <w:shd w:val="clear" w:color="auto" w:fill="auto"/>
            <w:noWrap/>
            <w:vAlign w:val="bottom"/>
            <w:hideMark/>
          </w:tcPr>
          <w:p w14:paraId="11498F5F" w14:textId="6BD4A7BC"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1,860,459.75 </w:t>
            </w:r>
          </w:p>
        </w:tc>
      </w:tr>
      <w:tr w:rsidR="007B5E5C" w:rsidRPr="00824BC0" w14:paraId="130DFE8E" w14:textId="77777777" w:rsidTr="00094F5C">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08115B55" w14:textId="549351DB" w:rsidR="00094F5C" w:rsidRPr="00824BC0" w:rsidRDefault="00094F5C" w:rsidP="007B5E5C">
            <w:pPr>
              <w:spacing w:after="0" w:line="240" w:lineRule="auto"/>
              <w:ind w:left="-30"/>
              <w:jc w:val="both"/>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July </w:t>
            </w:r>
          </w:p>
        </w:tc>
        <w:tc>
          <w:tcPr>
            <w:tcW w:w="1494" w:type="dxa"/>
            <w:tcBorders>
              <w:top w:val="nil"/>
              <w:left w:val="nil"/>
              <w:bottom w:val="single" w:sz="4" w:space="0" w:color="auto"/>
              <w:right w:val="single" w:sz="4" w:space="0" w:color="auto"/>
            </w:tcBorders>
            <w:shd w:val="clear" w:color="auto" w:fill="auto"/>
            <w:noWrap/>
            <w:vAlign w:val="bottom"/>
            <w:hideMark/>
          </w:tcPr>
          <w:p w14:paraId="1CE98653" w14:textId="5833C67D"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1,860,459.75 </w:t>
            </w:r>
          </w:p>
        </w:tc>
        <w:tc>
          <w:tcPr>
            <w:tcW w:w="1484" w:type="dxa"/>
            <w:tcBorders>
              <w:top w:val="nil"/>
              <w:left w:val="nil"/>
              <w:bottom w:val="single" w:sz="4" w:space="0" w:color="auto"/>
              <w:right w:val="single" w:sz="4" w:space="0" w:color="auto"/>
            </w:tcBorders>
            <w:shd w:val="clear" w:color="auto" w:fill="auto"/>
            <w:noWrap/>
            <w:vAlign w:val="bottom"/>
            <w:hideMark/>
          </w:tcPr>
          <w:p w14:paraId="45D2EBB4" w14:textId="55529887"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886,090.89 </w:t>
            </w:r>
          </w:p>
        </w:tc>
        <w:tc>
          <w:tcPr>
            <w:tcW w:w="1494" w:type="dxa"/>
            <w:tcBorders>
              <w:top w:val="nil"/>
              <w:left w:val="nil"/>
              <w:bottom w:val="single" w:sz="4" w:space="0" w:color="auto"/>
              <w:right w:val="single" w:sz="4" w:space="0" w:color="auto"/>
            </w:tcBorders>
            <w:shd w:val="clear" w:color="auto" w:fill="auto"/>
            <w:noWrap/>
            <w:vAlign w:val="bottom"/>
            <w:hideMark/>
          </w:tcPr>
          <w:p w14:paraId="47A93228" w14:textId="5CB25B31"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2,746,550.64 </w:t>
            </w:r>
          </w:p>
        </w:tc>
        <w:tc>
          <w:tcPr>
            <w:tcW w:w="1494" w:type="dxa"/>
            <w:tcBorders>
              <w:top w:val="nil"/>
              <w:left w:val="nil"/>
              <w:bottom w:val="single" w:sz="4" w:space="0" w:color="auto"/>
              <w:right w:val="single" w:sz="4" w:space="0" w:color="auto"/>
            </w:tcBorders>
            <w:shd w:val="clear" w:color="auto" w:fill="auto"/>
            <w:noWrap/>
            <w:vAlign w:val="bottom"/>
            <w:hideMark/>
          </w:tcPr>
          <w:p w14:paraId="40F5F33C" w14:textId="41615313"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1,859,983.04 </w:t>
            </w:r>
          </w:p>
        </w:tc>
        <w:tc>
          <w:tcPr>
            <w:tcW w:w="1602" w:type="dxa"/>
            <w:tcBorders>
              <w:top w:val="nil"/>
              <w:left w:val="nil"/>
              <w:bottom w:val="single" w:sz="4" w:space="0" w:color="auto"/>
              <w:right w:val="single" w:sz="4" w:space="0" w:color="auto"/>
            </w:tcBorders>
            <w:shd w:val="clear" w:color="auto" w:fill="auto"/>
            <w:noWrap/>
            <w:vAlign w:val="bottom"/>
            <w:hideMark/>
          </w:tcPr>
          <w:p w14:paraId="3681224F" w14:textId="4DBCC56F"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886,567.60 </w:t>
            </w:r>
          </w:p>
        </w:tc>
      </w:tr>
      <w:tr w:rsidR="007B5E5C" w:rsidRPr="00824BC0" w14:paraId="348B8D08" w14:textId="77777777" w:rsidTr="00094F5C">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1AEB3680" w14:textId="32B82703" w:rsidR="00094F5C" w:rsidRPr="00824BC0" w:rsidRDefault="00094F5C" w:rsidP="007B5E5C">
            <w:pPr>
              <w:spacing w:after="0" w:line="240" w:lineRule="auto"/>
              <w:ind w:left="-30"/>
              <w:jc w:val="both"/>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August </w:t>
            </w:r>
          </w:p>
        </w:tc>
        <w:tc>
          <w:tcPr>
            <w:tcW w:w="1494" w:type="dxa"/>
            <w:tcBorders>
              <w:top w:val="nil"/>
              <w:left w:val="nil"/>
              <w:bottom w:val="single" w:sz="4" w:space="0" w:color="auto"/>
              <w:right w:val="single" w:sz="4" w:space="0" w:color="auto"/>
            </w:tcBorders>
            <w:shd w:val="clear" w:color="auto" w:fill="auto"/>
            <w:noWrap/>
            <w:vAlign w:val="bottom"/>
            <w:hideMark/>
          </w:tcPr>
          <w:p w14:paraId="4C9686B8" w14:textId="5DEF22BE"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886,567.60 </w:t>
            </w:r>
          </w:p>
        </w:tc>
        <w:tc>
          <w:tcPr>
            <w:tcW w:w="1484" w:type="dxa"/>
            <w:tcBorders>
              <w:top w:val="nil"/>
              <w:left w:val="nil"/>
              <w:bottom w:val="single" w:sz="4" w:space="0" w:color="auto"/>
              <w:right w:val="single" w:sz="4" w:space="0" w:color="auto"/>
            </w:tcBorders>
            <w:shd w:val="clear" w:color="auto" w:fill="auto"/>
            <w:noWrap/>
            <w:vAlign w:val="bottom"/>
            <w:hideMark/>
          </w:tcPr>
          <w:p w14:paraId="45BB1FDA" w14:textId="3A14B0AF"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1,086,445.60 </w:t>
            </w:r>
          </w:p>
        </w:tc>
        <w:tc>
          <w:tcPr>
            <w:tcW w:w="1494" w:type="dxa"/>
            <w:tcBorders>
              <w:top w:val="nil"/>
              <w:left w:val="nil"/>
              <w:bottom w:val="single" w:sz="4" w:space="0" w:color="auto"/>
              <w:right w:val="single" w:sz="4" w:space="0" w:color="auto"/>
            </w:tcBorders>
            <w:shd w:val="clear" w:color="auto" w:fill="auto"/>
            <w:noWrap/>
            <w:vAlign w:val="bottom"/>
            <w:hideMark/>
          </w:tcPr>
          <w:p w14:paraId="36C1D453" w14:textId="46CB055C"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1,973,013.20 </w:t>
            </w:r>
          </w:p>
        </w:tc>
        <w:tc>
          <w:tcPr>
            <w:tcW w:w="1494" w:type="dxa"/>
            <w:tcBorders>
              <w:top w:val="nil"/>
              <w:left w:val="nil"/>
              <w:bottom w:val="single" w:sz="4" w:space="0" w:color="auto"/>
              <w:right w:val="single" w:sz="4" w:space="0" w:color="auto"/>
            </w:tcBorders>
            <w:shd w:val="clear" w:color="auto" w:fill="auto"/>
            <w:noWrap/>
            <w:vAlign w:val="bottom"/>
            <w:hideMark/>
          </w:tcPr>
          <w:p w14:paraId="44FB3DBB" w14:textId="759987D0"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886,567.60 </w:t>
            </w:r>
          </w:p>
        </w:tc>
        <w:tc>
          <w:tcPr>
            <w:tcW w:w="1602" w:type="dxa"/>
            <w:tcBorders>
              <w:top w:val="nil"/>
              <w:left w:val="nil"/>
              <w:bottom w:val="single" w:sz="4" w:space="0" w:color="auto"/>
              <w:right w:val="single" w:sz="4" w:space="0" w:color="auto"/>
            </w:tcBorders>
            <w:shd w:val="clear" w:color="auto" w:fill="auto"/>
            <w:noWrap/>
            <w:vAlign w:val="bottom"/>
            <w:hideMark/>
          </w:tcPr>
          <w:p w14:paraId="757C1702" w14:textId="1DFC3E43"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1,086,445.60 </w:t>
            </w:r>
          </w:p>
        </w:tc>
      </w:tr>
      <w:tr w:rsidR="007B5E5C" w:rsidRPr="00824BC0" w14:paraId="178836BE" w14:textId="77777777" w:rsidTr="00094F5C">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68AE358F" w14:textId="590A7DB3" w:rsidR="00094F5C" w:rsidRPr="00824BC0" w:rsidRDefault="00094F5C" w:rsidP="007B5E5C">
            <w:pPr>
              <w:spacing w:after="0" w:line="240" w:lineRule="auto"/>
              <w:ind w:left="-30"/>
              <w:jc w:val="both"/>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September </w:t>
            </w:r>
          </w:p>
        </w:tc>
        <w:tc>
          <w:tcPr>
            <w:tcW w:w="1494" w:type="dxa"/>
            <w:tcBorders>
              <w:top w:val="nil"/>
              <w:left w:val="nil"/>
              <w:bottom w:val="single" w:sz="4" w:space="0" w:color="auto"/>
              <w:right w:val="single" w:sz="4" w:space="0" w:color="auto"/>
            </w:tcBorders>
            <w:shd w:val="clear" w:color="auto" w:fill="auto"/>
            <w:noWrap/>
            <w:vAlign w:val="bottom"/>
            <w:hideMark/>
          </w:tcPr>
          <w:p w14:paraId="7E499DFD" w14:textId="70ED4204"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1,086,445.60 </w:t>
            </w:r>
          </w:p>
        </w:tc>
        <w:tc>
          <w:tcPr>
            <w:tcW w:w="1484" w:type="dxa"/>
            <w:tcBorders>
              <w:top w:val="nil"/>
              <w:left w:val="nil"/>
              <w:bottom w:val="single" w:sz="4" w:space="0" w:color="auto"/>
              <w:right w:val="single" w:sz="4" w:space="0" w:color="auto"/>
            </w:tcBorders>
            <w:shd w:val="clear" w:color="auto" w:fill="auto"/>
            <w:noWrap/>
            <w:vAlign w:val="bottom"/>
            <w:hideMark/>
          </w:tcPr>
          <w:p w14:paraId="693EFA74" w14:textId="02852BC0"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995,575.35 </w:t>
            </w:r>
          </w:p>
        </w:tc>
        <w:tc>
          <w:tcPr>
            <w:tcW w:w="1494" w:type="dxa"/>
            <w:tcBorders>
              <w:top w:val="nil"/>
              <w:left w:val="nil"/>
              <w:bottom w:val="single" w:sz="4" w:space="0" w:color="auto"/>
              <w:right w:val="single" w:sz="4" w:space="0" w:color="auto"/>
            </w:tcBorders>
            <w:shd w:val="clear" w:color="auto" w:fill="auto"/>
            <w:noWrap/>
            <w:vAlign w:val="bottom"/>
            <w:hideMark/>
          </w:tcPr>
          <w:p w14:paraId="301B249C" w14:textId="49EC118F"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2,082,020.95 </w:t>
            </w:r>
          </w:p>
        </w:tc>
        <w:tc>
          <w:tcPr>
            <w:tcW w:w="1494" w:type="dxa"/>
            <w:tcBorders>
              <w:top w:val="nil"/>
              <w:left w:val="nil"/>
              <w:bottom w:val="single" w:sz="4" w:space="0" w:color="auto"/>
              <w:right w:val="single" w:sz="4" w:space="0" w:color="auto"/>
            </w:tcBorders>
            <w:shd w:val="clear" w:color="auto" w:fill="auto"/>
            <w:noWrap/>
            <w:vAlign w:val="bottom"/>
            <w:hideMark/>
          </w:tcPr>
          <w:p w14:paraId="1C5840CD" w14:textId="006A6642"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1,086,445.60 </w:t>
            </w:r>
          </w:p>
        </w:tc>
        <w:tc>
          <w:tcPr>
            <w:tcW w:w="1602" w:type="dxa"/>
            <w:tcBorders>
              <w:top w:val="nil"/>
              <w:left w:val="nil"/>
              <w:bottom w:val="single" w:sz="4" w:space="0" w:color="auto"/>
              <w:right w:val="single" w:sz="4" w:space="0" w:color="auto"/>
            </w:tcBorders>
            <w:shd w:val="clear" w:color="auto" w:fill="auto"/>
            <w:noWrap/>
            <w:vAlign w:val="bottom"/>
            <w:hideMark/>
          </w:tcPr>
          <w:p w14:paraId="00BAC0EF" w14:textId="0CE1AB26"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995,575.35 </w:t>
            </w:r>
          </w:p>
        </w:tc>
      </w:tr>
      <w:tr w:rsidR="007B5E5C" w:rsidRPr="00824BC0" w14:paraId="249D1117" w14:textId="77777777" w:rsidTr="00094F5C">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5FA8C70D" w14:textId="5DBD5982" w:rsidR="00094F5C" w:rsidRPr="00824BC0" w:rsidRDefault="00094F5C" w:rsidP="007B5E5C">
            <w:pPr>
              <w:spacing w:after="0" w:line="240" w:lineRule="auto"/>
              <w:ind w:left="-30"/>
              <w:jc w:val="both"/>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October </w:t>
            </w:r>
          </w:p>
        </w:tc>
        <w:tc>
          <w:tcPr>
            <w:tcW w:w="1494" w:type="dxa"/>
            <w:tcBorders>
              <w:top w:val="nil"/>
              <w:left w:val="nil"/>
              <w:bottom w:val="single" w:sz="4" w:space="0" w:color="auto"/>
              <w:right w:val="single" w:sz="4" w:space="0" w:color="auto"/>
            </w:tcBorders>
            <w:shd w:val="clear" w:color="auto" w:fill="auto"/>
            <w:noWrap/>
            <w:vAlign w:val="bottom"/>
            <w:hideMark/>
          </w:tcPr>
          <w:p w14:paraId="68E9339F" w14:textId="486F9AFC"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995,575.35 </w:t>
            </w:r>
          </w:p>
        </w:tc>
        <w:tc>
          <w:tcPr>
            <w:tcW w:w="1484" w:type="dxa"/>
            <w:tcBorders>
              <w:top w:val="nil"/>
              <w:left w:val="nil"/>
              <w:bottom w:val="single" w:sz="4" w:space="0" w:color="auto"/>
              <w:right w:val="single" w:sz="4" w:space="0" w:color="auto"/>
            </w:tcBorders>
            <w:shd w:val="clear" w:color="auto" w:fill="auto"/>
            <w:noWrap/>
            <w:vAlign w:val="bottom"/>
            <w:hideMark/>
          </w:tcPr>
          <w:p w14:paraId="556E4083" w14:textId="7C999424"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868,425.56 </w:t>
            </w:r>
          </w:p>
        </w:tc>
        <w:tc>
          <w:tcPr>
            <w:tcW w:w="1494" w:type="dxa"/>
            <w:tcBorders>
              <w:top w:val="nil"/>
              <w:left w:val="nil"/>
              <w:bottom w:val="single" w:sz="4" w:space="0" w:color="auto"/>
              <w:right w:val="single" w:sz="4" w:space="0" w:color="auto"/>
            </w:tcBorders>
            <w:shd w:val="clear" w:color="auto" w:fill="auto"/>
            <w:noWrap/>
            <w:vAlign w:val="bottom"/>
            <w:hideMark/>
          </w:tcPr>
          <w:p w14:paraId="01ADD50F" w14:textId="2AD52277"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1,864,000.91 </w:t>
            </w:r>
          </w:p>
        </w:tc>
        <w:tc>
          <w:tcPr>
            <w:tcW w:w="1494" w:type="dxa"/>
            <w:tcBorders>
              <w:top w:val="nil"/>
              <w:left w:val="nil"/>
              <w:bottom w:val="single" w:sz="4" w:space="0" w:color="auto"/>
              <w:right w:val="single" w:sz="4" w:space="0" w:color="auto"/>
            </w:tcBorders>
            <w:shd w:val="clear" w:color="auto" w:fill="auto"/>
            <w:noWrap/>
            <w:vAlign w:val="bottom"/>
            <w:hideMark/>
          </w:tcPr>
          <w:p w14:paraId="04D35068" w14:textId="4D97EC99"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994,145.22 </w:t>
            </w:r>
          </w:p>
        </w:tc>
        <w:tc>
          <w:tcPr>
            <w:tcW w:w="1602" w:type="dxa"/>
            <w:tcBorders>
              <w:top w:val="nil"/>
              <w:left w:val="nil"/>
              <w:bottom w:val="single" w:sz="4" w:space="0" w:color="auto"/>
              <w:right w:val="single" w:sz="4" w:space="0" w:color="auto"/>
            </w:tcBorders>
            <w:shd w:val="clear" w:color="auto" w:fill="auto"/>
            <w:noWrap/>
            <w:vAlign w:val="bottom"/>
            <w:hideMark/>
          </w:tcPr>
          <w:p w14:paraId="39C062DA" w14:textId="585C7A5B"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869,855.69 </w:t>
            </w:r>
          </w:p>
        </w:tc>
      </w:tr>
      <w:tr w:rsidR="007B5E5C" w:rsidRPr="00824BC0" w14:paraId="4A4088AA" w14:textId="77777777" w:rsidTr="00094F5C">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38A569FC" w14:textId="3B882EE7" w:rsidR="00094F5C" w:rsidRPr="00824BC0" w:rsidRDefault="00094F5C" w:rsidP="007B5E5C">
            <w:pPr>
              <w:spacing w:after="0" w:line="240" w:lineRule="auto"/>
              <w:ind w:left="-30"/>
              <w:jc w:val="both"/>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lastRenderedPageBreak/>
              <w:t xml:space="preserve">November </w:t>
            </w:r>
          </w:p>
        </w:tc>
        <w:tc>
          <w:tcPr>
            <w:tcW w:w="1494" w:type="dxa"/>
            <w:tcBorders>
              <w:top w:val="nil"/>
              <w:left w:val="nil"/>
              <w:bottom w:val="single" w:sz="4" w:space="0" w:color="auto"/>
              <w:right w:val="single" w:sz="4" w:space="0" w:color="auto"/>
            </w:tcBorders>
            <w:shd w:val="clear" w:color="auto" w:fill="auto"/>
            <w:noWrap/>
            <w:vAlign w:val="bottom"/>
            <w:hideMark/>
          </w:tcPr>
          <w:p w14:paraId="3CDFBF17" w14:textId="6ECEC78D"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869,855.69 </w:t>
            </w:r>
          </w:p>
        </w:tc>
        <w:tc>
          <w:tcPr>
            <w:tcW w:w="1484" w:type="dxa"/>
            <w:tcBorders>
              <w:top w:val="nil"/>
              <w:left w:val="nil"/>
              <w:bottom w:val="single" w:sz="4" w:space="0" w:color="auto"/>
              <w:right w:val="single" w:sz="4" w:space="0" w:color="auto"/>
            </w:tcBorders>
            <w:shd w:val="clear" w:color="auto" w:fill="auto"/>
            <w:noWrap/>
            <w:vAlign w:val="bottom"/>
            <w:hideMark/>
          </w:tcPr>
          <w:p w14:paraId="6EB2A753" w14:textId="0DCA6BE7"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1,325,930.89 </w:t>
            </w:r>
          </w:p>
        </w:tc>
        <w:tc>
          <w:tcPr>
            <w:tcW w:w="1494" w:type="dxa"/>
            <w:tcBorders>
              <w:top w:val="nil"/>
              <w:left w:val="nil"/>
              <w:bottom w:val="single" w:sz="4" w:space="0" w:color="auto"/>
              <w:right w:val="single" w:sz="4" w:space="0" w:color="auto"/>
            </w:tcBorders>
            <w:shd w:val="clear" w:color="auto" w:fill="auto"/>
            <w:noWrap/>
            <w:vAlign w:val="bottom"/>
            <w:hideMark/>
          </w:tcPr>
          <w:p w14:paraId="56CA106A" w14:textId="299A442D"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2,195,786.58 </w:t>
            </w:r>
          </w:p>
        </w:tc>
        <w:tc>
          <w:tcPr>
            <w:tcW w:w="1494" w:type="dxa"/>
            <w:tcBorders>
              <w:top w:val="nil"/>
              <w:left w:val="nil"/>
              <w:bottom w:val="single" w:sz="4" w:space="0" w:color="auto"/>
              <w:right w:val="single" w:sz="4" w:space="0" w:color="auto"/>
            </w:tcBorders>
            <w:shd w:val="clear" w:color="auto" w:fill="auto"/>
            <w:noWrap/>
            <w:vAlign w:val="bottom"/>
            <w:hideMark/>
          </w:tcPr>
          <w:p w14:paraId="20E496B0" w14:textId="1E364239"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906,574.42 </w:t>
            </w:r>
          </w:p>
        </w:tc>
        <w:tc>
          <w:tcPr>
            <w:tcW w:w="1602" w:type="dxa"/>
            <w:tcBorders>
              <w:top w:val="nil"/>
              <w:left w:val="nil"/>
              <w:bottom w:val="single" w:sz="4" w:space="0" w:color="auto"/>
              <w:right w:val="single" w:sz="4" w:space="0" w:color="auto"/>
            </w:tcBorders>
            <w:shd w:val="clear" w:color="auto" w:fill="auto"/>
            <w:noWrap/>
            <w:vAlign w:val="bottom"/>
            <w:hideMark/>
          </w:tcPr>
          <w:p w14:paraId="7C75B227" w14:textId="22975050"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1,289,212.16 </w:t>
            </w:r>
          </w:p>
        </w:tc>
      </w:tr>
      <w:tr w:rsidR="007B5E5C" w:rsidRPr="00824BC0" w14:paraId="5C2FAE0B" w14:textId="77777777" w:rsidTr="00094F5C">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28C7BD66" w14:textId="727C2583" w:rsidR="00094F5C" w:rsidRPr="00824BC0" w:rsidRDefault="00094F5C" w:rsidP="007B5E5C">
            <w:pPr>
              <w:spacing w:after="0" w:line="240" w:lineRule="auto"/>
              <w:ind w:left="-30"/>
              <w:jc w:val="both"/>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December </w:t>
            </w:r>
          </w:p>
        </w:tc>
        <w:tc>
          <w:tcPr>
            <w:tcW w:w="1494" w:type="dxa"/>
            <w:tcBorders>
              <w:top w:val="nil"/>
              <w:left w:val="nil"/>
              <w:bottom w:val="single" w:sz="4" w:space="0" w:color="auto"/>
              <w:right w:val="single" w:sz="4" w:space="0" w:color="auto"/>
            </w:tcBorders>
            <w:shd w:val="clear" w:color="auto" w:fill="auto"/>
            <w:noWrap/>
            <w:vAlign w:val="bottom"/>
            <w:hideMark/>
          </w:tcPr>
          <w:p w14:paraId="11B9AB27" w14:textId="21F0CB1B"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1,289,212.16 </w:t>
            </w:r>
          </w:p>
        </w:tc>
        <w:tc>
          <w:tcPr>
            <w:tcW w:w="1484" w:type="dxa"/>
            <w:tcBorders>
              <w:top w:val="nil"/>
              <w:left w:val="nil"/>
              <w:bottom w:val="single" w:sz="4" w:space="0" w:color="auto"/>
              <w:right w:val="single" w:sz="4" w:space="0" w:color="auto"/>
            </w:tcBorders>
            <w:shd w:val="clear" w:color="auto" w:fill="auto"/>
            <w:noWrap/>
            <w:vAlign w:val="bottom"/>
            <w:hideMark/>
          </w:tcPr>
          <w:p w14:paraId="1AE7BA62" w14:textId="2DAC8D92"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1,265,921.32 </w:t>
            </w:r>
          </w:p>
        </w:tc>
        <w:tc>
          <w:tcPr>
            <w:tcW w:w="1494" w:type="dxa"/>
            <w:tcBorders>
              <w:top w:val="nil"/>
              <w:left w:val="nil"/>
              <w:bottom w:val="single" w:sz="4" w:space="0" w:color="auto"/>
              <w:right w:val="single" w:sz="4" w:space="0" w:color="auto"/>
            </w:tcBorders>
            <w:shd w:val="clear" w:color="auto" w:fill="auto"/>
            <w:noWrap/>
            <w:vAlign w:val="bottom"/>
            <w:hideMark/>
          </w:tcPr>
          <w:p w14:paraId="46E5F274" w14:textId="4FBFEDCF"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2,555,133.48 </w:t>
            </w:r>
          </w:p>
        </w:tc>
        <w:tc>
          <w:tcPr>
            <w:tcW w:w="1494" w:type="dxa"/>
            <w:tcBorders>
              <w:top w:val="nil"/>
              <w:left w:val="nil"/>
              <w:bottom w:val="single" w:sz="4" w:space="0" w:color="auto"/>
              <w:right w:val="single" w:sz="4" w:space="0" w:color="auto"/>
            </w:tcBorders>
            <w:shd w:val="clear" w:color="auto" w:fill="auto"/>
            <w:noWrap/>
            <w:vAlign w:val="bottom"/>
            <w:hideMark/>
          </w:tcPr>
          <w:p w14:paraId="7E933676" w14:textId="1112FAE4"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1,288,735.45 </w:t>
            </w:r>
          </w:p>
        </w:tc>
        <w:tc>
          <w:tcPr>
            <w:tcW w:w="1602" w:type="dxa"/>
            <w:tcBorders>
              <w:top w:val="nil"/>
              <w:left w:val="nil"/>
              <w:bottom w:val="single" w:sz="4" w:space="0" w:color="auto"/>
              <w:right w:val="single" w:sz="4" w:space="0" w:color="auto"/>
            </w:tcBorders>
            <w:shd w:val="clear" w:color="auto" w:fill="auto"/>
            <w:noWrap/>
            <w:vAlign w:val="bottom"/>
            <w:hideMark/>
          </w:tcPr>
          <w:p w14:paraId="709D4367" w14:textId="202FA464" w:rsidR="00094F5C" w:rsidRPr="00824BC0" w:rsidRDefault="00094F5C" w:rsidP="00094F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1,266,398.03 </w:t>
            </w:r>
          </w:p>
        </w:tc>
      </w:tr>
    </w:tbl>
    <w:p w14:paraId="1C41E870" w14:textId="77777777" w:rsidR="00123904" w:rsidRPr="00824BC0" w:rsidRDefault="00123904" w:rsidP="003A5945">
      <w:pPr>
        <w:pStyle w:val="ListParagraph"/>
        <w:ind w:left="0"/>
        <w:jc w:val="both"/>
        <w:rPr>
          <w:bCs/>
          <w:szCs w:val="24"/>
        </w:rPr>
      </w:pPr>
    </w:p>
    <w:tbl>
      <w:tblPr>
        <w:tblW w:w="8725" w:type="dxa"/>
        <w:tblLook w:val="04A0" w:firstRow="1" w:lastRow="0" w:firstColumn="1" w:lastColumn="0" w:noHBand="0" w:noVBand="1"/>
      </w:tblPr>
      <w:tblGrid>
        <w:gridCol w:w="1165"/>
        <w:gridCol w:w="1530"/>
        <w:gridCol w:w="1440"/>
        <w:gridCol w:w="1530"/>
        <w:gridCol w:w="1440"/>
        <w:gridCol w:w="1620"/>
      </w:tblGrid>
      <w:tr w:rsidR="007B5E5C" w:rsidRPr="00824BC0" w14:paraId="7250634B" w14:textId="77777777" w:rsidTr="0050514F">
        <w:trPr>
          <w:trHeight w:val="600"/>
          <w:tblHead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2E010" w14:textId="77777777" w:rsidR="00094F5C" w:rsidRPr="00824BC0" w:rsidRDefault="00094F5C" w:rsidP="00094F5C">
            <w:pPr>
              <w:spacing w:after="0" w:line="240" w:lineRule="auto"/>
              <w:jc w:val="center"/>
              <w:rPr>
                <w:rFonts w:ascii="Times New Roman" w:eastAsia="Times New Roman" w:hAnsi="Times New Roman" w:cs="Times New Roman"/>
                <w:b/>
                <w:bCs/>
                <w:color w:val="000000"/>
                <w:lang w:eastAsia="en-PH"/>
              </w:rPr>
            </w:pPr>
            <w:r w:rsidRPr="00824BC0">
              <w:rPr>
                <w:rFonts w:ascii="Times New Roman" w:eastAsia="Times New Roman" w:hAnsi="Times New Roman" w:cs="Times New Roman"/>
                <w:b/>
                <w:bCs/>
                <w:color w:val="000000"/>
                <w:lang w:eastAsia="en-PH"/>
              </w:rPr>
              <w:t xml:space="preserve">Fund 161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F4AAB1E" w14:textId="77777777" w:rsidR="00094F5C" w:rsidRPr="00824BC0" w:rsidRDefault="00094F5C" w:rsidP="00094F5C">
            <w:pPr>
              <w:spacing w:after="0" w:line="240" w:lineRule="auto"/>
              <w:jc w:val="center"/>
              <w:rPr>
                <w:rFonts w:ascii="Times New Roman" w:eastAsia="Times New Roman" w:hAnsi="Times New Roman" w:cs="Times New Roman"/>
                <w:b/>
                <w:bCs/>
                <w:color w:val="000000"/>
                <w:lang w:eastAsia="en-PH"/>
              </w:rPr>
            </w:pPr>
            <w:r w:rsidRPr="00824BC0">
              <w:rPr>
                <w:rFonts w:ascii="Times New Roman" w:eastAsia="Times New Roman" w:hAnsi="Times New Roman" w:cs="Times New Roman"/>
                <w:b/>
                <w:bCs/>
                <w:color w:val="000000"/>
                <w:lang w:eastAsia="en-PH"/>
              </w:rPr>
              <w:t xml:space="preserve"> Beginning Balance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E93678E" w14:textId="77777777" w:rsidR="00094F5C" w:rsidRPr="00824BC0" w:rsidRDefault="00094F5C" w:rsidP="00094F5C">
            <w:pPr>
              <w:spacing w:after="0" w:line="240" w:lineRule="auto"/>
              <w:jc w:val="center"/>
              <w:rPr>
                <w:rFonts w:ascii="Times New Roman" w:eastAsia="Times New Roman" w:hAnsi="Times New Roman" w:cs="Times New Roman"/>
                <w:b/>
                <w:bCs/>
                <w:color w:val="000000"/>
                <w:lang w:eastAsia="en-PH"/>
              </w:rPr>
            </w:pPr>
            <w:r w:rsidRPr="00824BC0">
              <w:rPr>
                <w:rFonts w:ascii="Times New Roman" w:eastAsia="Times New Roman" w:hAnsi="Times New Roman" w:cs="Times New Roman"/>
                <w:b/>
                <w:bCs/>
                <w:color w:val="000000"/>
                <w:lang w:eastAsia="en-PH"/>
              </w:rPr>
              <w:t xml:space="preserve"> Taxes Withheld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7F87B44" w14:textId="05839696" w:rsidR="00094F5C" w:rsidRPr="00824BC0" w:rsidRDefault="00094F5C" w:rsidP="00094F5C">
            <w:pPr>
              <w:spacing w:after="0" w:line="240" w:lineRule="auto"/>
              <w:jc w:val="center"/>
              <w:rPr>
                <w:rFonts w:ascii="Times New Roman" w:eastAsia="Times New Roman" w:hAnsi="Times New Roman" w:cs="Times New Roman"/>
                <w:b/>
                <w:bCs/>
                <w:color w:val="000000"/>
                <w:lang w:eastAsia="en-PH"/>
              </w:rPr>
            </w:pPr>
            <w:r w:rsidRPr="00824BC0">
              <w:rPr>
                <w:rFonts w:ascii="Times New Roman" w:eastAsia="Times New Roman" w:hAnsi="Times New Roman" w:cs="Times New Roman"/>
                <w:b/>
                <w:bCs/>
                <w:color w:val="000000"/>
                <w:lang w:eastAsia="en-PH"/>
              </w:rPr>
              <w:t xml:space="preserve"> T</w:t>
            </w:r>
            <w:r w:rsidR="00094B5D" w:rsidRPr="00824BC0">
              <w:rPr>
                <w:rFonts w:ascii="Times New Roman" w:eastAsia="Times New Roman" w:hAnsi="Times New Roman" w:cs="Times New Roman"/>
                <w:b/>
                <w:bCs/>
                <w:color w:val="000000"/>
                <w:lang w:eastAsia="en-PH"/>
              </w:rPr>
              <w:t>otal for Remittance</w:t>
            </w:r>
            <w:r w:rsidRPr="00824BC0">
              <w:rPr>
                <w:rFonts w:ascii="Times New Roman" w:eastAsia="Times New Roman" w:hAnsi="Times New Roman" w:cs="Times New Roman"/>
                <w:b/>
                <w:bCs/>
                <w:color w:val="000000"/>
                <w:lang w:eastAsia="en-PH"/>
              </w:rPr>
              <w:t xml:space="preserve">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29DC0E3" w14:textId="77777777" w:rsidR="00094F5C" w:rsidRPr="00824BC0" w:rsidRDefault="00094F5C" w:rsidP="00094F5C">
            <w:pPr>
              <w:spacing w:after="0" w:line="240" w:lineRule="auto"/>
              <w:jc w:val="center"/>
              <w:rPr>
                <w:rFonts w:ascii="Times New Roman" w:eastAsia="Times New Roman" w:hAnsi="Times New Roman" w:cs="Times New Roman"/>
                <w:b/>
                <w:bCs/>
                <w:color w:val="000000"/>
                <w:lang w:eastAsia="en-PH"/>
              </w:rPr>
            </w:pPr>
            <w:r w:rsidRPr="00824BC0">
              <w:rPr>
                <w:rFonts w:ascii="Times New Roman" w:eastAsia="Times New Roman" w:hAnsi="Times New Roman" w:cs="Times New Roman"/>
                <w:b/>
                <w:bCs/>
                <w:color w:val="000000"/>
                <w:lang w:eastAsia="en-PH"/>
              </w:rPr>
              <w:t xml:space="preserve"> Taxes Remitted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8FD8E7F" w14:textId="77777777" w:rsidR="00094F5C" w:rsidRPr="00824BC0" w:rsidRDefault="00094F5C" w:rsidP="00094F5C">
            <w:pPr>
              <w:spacing w:after="0" w:line="240" w:lineRule="auto"/>
              <w:jc w:val="center"/>
              <w:rPr>
                <w:rFonts w:ascii="Times New Roman" w:eastAsia="Times New Roman" w:hAnsi="Times New Roman" w:cs="Times New Roman"/>
                <w:b/>
                <w:bCs/>
                <w:color w:val="000000"/>
                <w:lang w:eastAsia="en-PH"/>
              </w:rPr>
            </w:pPr>
            <w:r w:rsidRPr="00824BC0">
              <w:rPr>
                <w:rFonts w:ascii="Times New Roman" w:eastAsia="Times New Roman" w:hAnsi="Times New Roman" w:cs="Times New Roman"/>
                <w:b/>
                <w:bCs/>
                <w:color w:val="000000"/>
                <w:lang w:eastAsia="en-PH"/>
              </w:rPr>
              <w:t xml:space="preserve"> Ending Balance </w:t>
            </w:r>
          </w:p>
        </w:tc>
      </w:tr>
      <w:tr w:rsidR="007B5E5C" w:rsidRPr="00824BC0" w14:paraId="7F1B3EDF" w14:textId="77777777" w:rsidTr="007B5E5C">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10FE2730" w14:textId="77777777" w:rsidR="00094F5C" w:rsidRPr="00824BC0" w:rsidRDefault="00094F5C" w:rsidP="007B5E5C">
            <w:pPr>
              <w:spacing w:after="0" w:line="240" w:lineRule="auto"/>
              <w:jc w:val="center"/>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2021</w:t>
            </w:r>
          </w:p>
        </w:tc>
        <w:tc>
          <w:tcPr>
            <w:tcW w:w="1530" w:type="dxa"/>
            <w:tcBorders>
              <w:top w:val="nil"/>
              <w:left w:val="nil"/>
              <w:bottom w:val="single" w:sz="4" w:space="0" w:color="auto"/>
              <w:right w:val="single" w:sz="4" w:space="0" w:color="auto"/>
            </w:tcBorders>
            <w:shd w:val="clear" w:color="auto" w:fill="auto"/>
            <w:vAlign w:val="center"/>
            <w:hideMark/>
          </w:tcPr>
          <w:p w14:paraId="0132287E" w14:textId="77777777" w:rsidR="00094F5C" w:rsidRPr="00824BC0" w:rsidRDefault="00094F5C" w:rsidP="00094F5C">
            <w:pPr>
              <w:spacing w:after="0" w:line="240" w:lineRule="auto"/>
              <w:jc w:val="center"/>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w:t>
            </w:r>
          </w:p>
        </w:tc>
        <w:tc>
          <w:tcPr>
            <w:tcW w:w="1440" w:type="dxa"/>
            <w:tcBorders>
              <w:top w:val="nil"/>
              <w:left w:val="nil"/>
              <w:bottom w:val="single" w:sz="4" w:space="0" w:color="auto"/>
              <w:right w:val="single" w:sz="4" w:space="0" w:color="auto"/>
            </w:tcBorders>
            <w:shd w:val="clear" w:color="auto" w:fill="auto"/>
            <w:vAlign w:val="center"/>
            <w:hideMark/>
          </w:tcPr>
          <w:p w14:paraId="7C482B42" w14:textId="77777777" w:rsidR="00094F5C" w:rsidRPr="00824BC0" w:rsidRDefault="00094F5C" w:rsidP="00094F5C">
            <w:pPr>
              <w:spacing w:after="0" w:line="240" w:lineRule="auto"/>
              <w:jc w:val="center"/>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w:t>
            </w:r>
          </w:p>
        </w:tc>
        <w:tc>
          <w:tcPr>
            <w:tcW w:w="1530" w:type="dxa"/>
            <w:tcBorders>
              <w:top w:val="nil"/>
              <w:left w:val="nil"/>
              <w:bottom w:val="single" w:sz="4" w:space="0" w:color="auto"/>
              <w:right w:val="single" w:sz="4" w:space="0" w:color="auto"/>
            </w:tcBorders>
            <w:shd w:val="clear" w:color="auto" w:fill="auto"/>
            <w:vAlign w:val="center"/>
            <w:hideMark/>
          </w:tcPr>
          <w:p w14:paraId="77B079BC" w14:textId="77777777" w:rsidR="00094F5C" w:rsidRPr="00824BC0" w:rsidRDefault="00094F5C" w:rsidP="00094F5C">
            <w:pPr>
              <w:spacing w:after="0" w:line="240" w:lineRule="auto"/>
              <w:jc w:val="center"/>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w:t>
            </w:r>
          </w:p>
        </w:tc>
        <w:tc>
          <w:tcPr>
            <w:tcW w:w="1440" w:type="dxa"/>
            <w:tcBorders>
              <w:top w:val="nil"/>
              <w:left w:val="nil"/>
              <w:bottom w:val="single" w:sz="4" w:space="0" w:color="auto"/>
              <w:right w:val="single" w:sz="4" w:space="0" w:color="auto"/>
            </w:tcBorders>
            <w:shd w:val="clear" w:color="auto" w:fill="auto"/>
            <w:vAlign w:val="center"/>
            <w:hideMark/>
          </w:tcPr>
          <w:p w14:paraId="483B294B" w14:textId="77777777" w:rsidR="00094F5C" w:rsidRPr="00824BC0" w:rsidRDefault="00094F5C" w:rsidP="00094F5C">
            <w:pPr>
              <w:spacing w:after="0" w:line="240" w:lineRule="auto"/>
              <w:jc w:val="center"/>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w:t>
            </w:r>
          </w:p>
        </w:tc>
        <w:tc>
          <w:tcPr>
            <w:tcW w:w="1620" w:type="dxa"/>
            <w:tcBorders>
              <w:top w:val="nil"/>
              <w:left w:val="nil"/>
              <w:bottom w:val="single" w:sz="4" w:space="0" w:color="auto"/>
              <w:right w:val="single" w:sz="4" w:space="0" w:color="auto"/>
            </w:tcBorders>
            <w:shd w:val="clear" w:color="auto" w:fill="auto"/>
            <w:vAlign w:val="center"/>
            <w:hideMark/>
          </w:tcPr>
          <w:p w14:paraId="20ABEFCD" w14:textId="77777777" w:rsidR="00094F5C" w:rsidRPr="00824BC0" w:rsidRDefault="00094F5C" w:rsidP="00094F5C">
            <w:pPr>
              <w:spacing w:after="0" w:line="240" w:lineRule="auto"/>
              <w:jc w:val="center"/>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w:t>
            </w:r>
          </w:p>
        </w:tc>
      </w:tr>
      <w:tr w:rsidR="007B5E5C" w:rsidRPr="00824BC0" w14:paraId="116FEA53" w14:textId="77777777" w:rsidTr="007B5E5C">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5347E214" w14:textId="1CEDA265" w:rsidR="007B5E5C" w:rsidRPr="00824BC0" w:rsidRDefault="007B5E5C" w:rsidP="007B5E5C">
            <w:pPr>
              <w:spacing w:after="0" w:line="240" w:lineRule="auto"/>
              <w:ind w:left="-30"/>
              <w:jc w:val="both"/>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January </w:t>
            </w:r>
          </w:p>
        </w:tc>
        <w:tc>
          <w:tcPr>
            <w:tcW w:w="1530" w:type="dxa"/>
            <w:tcBorders>
              <w:top w:val="nil"/>
              <w:left w:val="nil"/>
              <w:bottom w:val="single" w:sz="4" w:space="0" w:color="auto"/>
              <w:right w:val="single" w:sz="4" w:space="0" w:color="auto"/>
            </w:tcBorders>
            <w:shd w:val="clear" w:color="auto" w:fill="auto"/>
            <w:noWrap/>
            <w:vAlign w:val="bottom"/>
            <w:hideMark/>
          </w:tcPr>
          <w:p w14:paraId="07B8F6DB" w14:textId="7B7A8B05" w:rsidR="007B5E5C" w:rsidRPr="00824BC0" w:rsidRDefault="007B5E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sz w:val="24"/>
                <w:szCs w:val="24"/>
                <w:lang w:eastAsia="en-PH"/>
              </w:rPr>
              <w:t>₱         0.00</w:t>
            </w:r>
            <w:r w:rsidRPr="00824BC0">
              <w:rPr>
                <w:rFonts w:ascii="Times New Roman" w:eastAsia="Times New Roman" w:hAnsi="Times New Roman" w:cs="Times New Roman"/>
                <w:color w:val="000000"/>
                <w:lang w:eastAsia="en-PH"/>
              </w:rPr>
              <w:t xml:space="preserve">   </w:t>
            </w:r>
          </w:p>
        </w:tc>
        <w:tc>
          <w:tcPr>
            <w:tcW w:w="1440" w:type="dxa"/>
            <w:tcBorders>
              <w:top w:val="nil"/>
              <w:left w:val="nil"/>
              <w:bottom w:val="single" w:sz="4" w:space="0" w:color="auto"/>
              <w:right w:val="single" w:sz="4" w:space="0" w:color="auto"/>
            </w:tcBorders>
            <w:shd w:val="clear" w:color="auto" w:fill="auto"/>
            <w:noWrap/>
            <w:vAlign w:val="bottom"/>
            <w:hideMark/>
          </w:tcPr>
          <w:p w14:paraId="5DE2DE03" w14:textId="18983A5B" w:rsidR="007B5E5C" w:rsidRPr="00824BC0" w:rsidRDefault="007B5E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sz w:val="24"/>
                <w:szCs w:val="24"/>
                <w:lang w:eastAsia="en-PH"/>
              </w:rPr>
              <w:t>₱         0.00</w:t>
            </w:r>
            <w:r w:rsidRPr="00824BC0">
              <w:rPr>
                <w:rFonts w:ascii="Times New Roman" w:eastAsia="Times New Roman" w:hAnsi="Times New Roman" w:cs="Times New Roman"/>
                <w:color w:val="000000"/>
                <w:lang w:eastAsia="en-PH"/>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636C0A9B" w14:textId="590410F1" w:rsidR="007B5E5C" w:rsidRPr="00824BC0" w:rsidRDefault="007B5E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sz w:val="24"/>
                <w:szCs w:val="24"/>
                <w:lang w:eastAsia="en-PH"/>
              </w:rPr>
              <w:t>₱         0.00</w:t>
            </w:r>
            <w:r w:rsidRPr="00824BC0">
              <w:rPr>
                <w:rFonts w:ascii="Times New Roman" w:eastAsia="Times New Roman" w:hAnsi="Times New Roman" w:cs="Times New Roman"/>
                <w:color w:val="000000"/>
                <w:lang w:eastAsia="en-PH"/>
              </w:rPr>
              <w:t xml:space="preserve">   </w:t>
            </w:r>
          </w:p>
        </w:tc>
        <w:tc>
          <w:tcPr>
            <w:tcW w:w="1440" w:type="dxa"/>
            <w:tcBorders>
              <w:top w:val="nil"/>
              <w:left w:val="nil"/>
              <w:bottom w:val="single" w:sz="4" w:space="0" w:color="auto"/>
              <w:right w:val="single" w:sz="4" w:space="0" w:color="auto"/>
            </w:tcBorders>
            <w:shd w:val="clear" w:color="auto" w:fill="auto"/>
            <w:noWrap/>
            <w:vAlign w:val="bottom"/>
            <w:hideMark/>
          </w:tcPr>
          <w:p w14:paraId="42DFBD44" w14:textId="189DCA51" w:rsidR="007B5E5C" w:rsidRPr="00824BC0" w:rsidRDefault="007B5E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sz w:val="24"/>
                <w:szCs w:val="24"/>
                <w:lang w:eastAsia="en-PH"/>
              </w:rPr>
              <w:t>₱         0.00</w:t>
            </w:r>
            <w:r w:rsidRPr="00824BC0">
              <w:rPr>
                <w:rFonts w:ascii="Times New Roman" w:eastAsia="Times New Roman" w:hAnsi="Times New Roman" w:cs="Times New Roman"/>
                <w:color w:val="000000"/>
                <w:lang w:eastAsia="en-PH"/>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14:paraId="1C6CB531" w14:textId="2C3259C1" w:rsidR="007B5E5C" w:rsidRPr="00824BC0" w:rsidRDefault="007B5E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sz w:val="24"/>
                <w:szCs w:val="24"/>
                <w:lang w:eastAsia="en-PH"/>
              </w:rPr>
              <w:t>₱         0.00</w:t>
            </w:r>
            <w:r w:rsidRPr="00824BC0">
              <w:rPr>
                <w:rFonts w:ascii="Times New Roman" w:eastAsia="Times New Roman" w:hAnsi="Times New Roman" w:cs="Times New Roman"/>
                <w:color w:val="000000"/>
                <w:lang w:eastAsia="en-PH"/>
              </w:rPr>
              <w:t xml:space="preserve">   </w:t>
            </w:r>
          </w:p>
        </w:tc>
      </w:tr>
      <w:tr w:rsidR="007B5E5C" w:rsidRPr="00824BC0" w14:paraId="5E33B665" w14:textId="77777777" w:rsidTr="007B5E5C">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0D7D3D9C" w14:textId="2F34F026" w:rsidR="007B5E5C" w:rsidRPr="00824BC0" w:rsidRDefault="007B5E5C" w:rsidP="007B5E5C">
            <w:pPr>
              <w:spacing w:after="0" w:line="240" w:lineRule="auto"/>
              <w:ind w:left="-30"/>
              <w:jc w:val="both"/>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February </w:t>
            </w:r>
          </w:p>
        </w:tc>
        <w:tc>
          <w:tcPr>
            <w:tcW w:w="1530" w:type="dxa"/>
            <w:tcBorders>
              <w:top w:val="nil"/>
              <w:left w:val="nil"/>
              <w:bottom w:val="single" w:sz="4" w:space="0" w:color="auto"/>
              <w:right w:val="single" w:sz="4" w:space="0" w:color="auto"/>
            </w:tcBorders>
            <w:shd w:val="clear" w:color="auto" w:fill="auto"/>
            <w:noWrap/>
            <w:vAlign w:val="bottom"/>
            <w:hideMark/>
          </w:tcPr>
          <w:p w14:paraId="18B139C7" w14:textId="68764E92" w:rsidR="007B5E5C" w:rsidRPr="00824BC0" w:rsidRDefault="007B5E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6202524B" w14:textId="4175B329" w:rsidR="007B5E5C" w:rsidRPr="00824BC0" w:rsidRDefault="007B5E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0E1C00A2" w14:textId="1B42643D" w:rsidR="007B5E5C" w:rsidRPr="00824BC0" w:rsidRDefault="007B5E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63510437" w14:textId="375D391A" w:rsidR="007B5E5C" w:rsidRPr="00824BC0" w:rsidRDefault="007B5E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0.00</w:t>
            </w:r>
          </w:p>
        </w:tc>
        <w:tc>
          <w:tcPr>
            <w:tcW w:w="1620" w:type="dxa"/>
            <w:tcBorders>
              <w:top w:val="nil"/>
              <w:left w:val="nil"/>
              <w:bottom w:val="single" w:sz="4" w:space="0" w:color="auto"/>
              <w:right w:val="single" w:sz="4" w:space="0" w:color="auto"/>
            </w:tcBorders>
            <w:shd w:val="clear" w:color="auto" w:fill="auto"/>
            <w:noWrap/>
            <w:vAlign w:val="bottom"/>
            <w:hideMark/>
          </w:tcPr>
          <w:p w14:paraId="361BA91E" w14:textId="3EE20549" w:rsidR="007B5E5C" w:rsidRPr="00824BC0" w:rsidRDefault="007B5E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0.00</w:t>
            </w:r>
          </w:p>
        </w:tc>
      </w:tr>
      <w:tr w:rsidR="007B5E5C" w:rsidRPr="00824BC0" w14:paraId="2D7DF59C" w14:textId="77777777" w:rsidTr="007B5E5C">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00E91A03" w14:textId="2168092E" w:rsidR="007B5E5C" w:rsidRPr="00824BC0" w:rsidRDefault="007B5E5C" w:rsidP="007B5E5C">
            <w:pPr>
              <w:spacing w:after="0" w:line="240" w:lineRule="auto"/>
              <w:ind w:left="-30"/>
              <w:jc w:val="both"/>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March </w:t>
            </w:r>
          </w:p>
        </w:tc>
        <w:tc>
          <w:tcPr>
            <w:tcW w:w="1530" w:type="dxa"/>
            <w:tcBorders>
              <w:top w:val="nil"/>
              <w:left w:val="nil"/>
              <w:bottom w:val="single" w:sz="4" w:space="0" w:color="auto"/>
              <w:right w:val="single" w:sz="4" w:space="0" w:color="auto"/>
            </w:tcBorders>
            <w:shd w:val="clear" w:color="auto" w:fill="auto"/>
            <w:noWrap/>
            <w:vAlign w:val="bottom"/>
            <w:hideMark/>
          </w:tcPr>
          <w:p w14:paraId="099785FD" w14:textId="5C9392D2" w:rsidR="007B5E5C" w:rsidRPr="00824BC0" w:rsidRDefault="007B5E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14FBE46D" w14:textId="3F3C545B" w:rsidR="007B5E5C" w:rsidRPr="00824BC0" w:rsidRDefault="007B5E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1E76DA57" w14:textId="7772D48D" w:rsidR="007B5E5C" w:rsidRPr="00824BC0" w:rsidRDefault="007B5E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50A3084B" w14:textId="50B020E0" w:rsidR="007B5E5C" w:rsidRPr="00824BC0" w:rsidRDefault="007B5E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0.00</w:t>
            </w:r>
          </w:p>
        </w:tc>
        <w:tc>
          <w:tcPr>
            <w:tcW w:w="1620" w:type="dxa"/>
            <w:tcBorders>
              <w:top w:val="nil"/>
              <w:left w:val="nil"/>
              <w:bottom w:val="single" w:sz="4" w:space="0" w:color="auto"/>
              <w:right w:val="single" w:sz="4" w:space="0" w:color="auto"/>
            </w:tcBorders>
            <w:shd w:val="clear" w:color="auto" w:fill="auto"/>
            <w:noWrap/>
            <w:vAlign w:val="bottom"/>
            <w:hideMark/>
          </w:tcPr>
          <w:p w14:paraId="19820EC9" w14:textId="00B93D94" w:rsidR="007B5E5C" w:rsidRPr="00824BC0" w:rsidRDefault="007B5E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0.00</w:t>
            </w:r>
          </w:p>
        </w:tc>
      </w:tr>
      <w:tr w:rsidR="007B5E5C" w:rsidRPr="00824BC0" w14:paraId="32C77A26" w14:textId="77777777" w:rsidTr="007B5E5C">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54442B2D" w14:textId="03063D3D" w:rsidR="007B5E5C" w:rsidRPr="00824BC0" w:rsidRDefault="007B5E5C" w:rsidP="007B5E5C">
            <w:pPr>
              <w:spacing w:after="0" w:line="240" w:lineRule="auto"/>
              <w:ind w:left="-30"/>
              <w:jc w:val="both"/>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April </w:t>
            </w:r>
          </w:p>
        </w:tc>
        <w:tc>
          <w:tcPr>
            <w:tcW w:w="1530" w:type="dxa"/>
            <w:tcBorders>
              <w:top w:val="nil"/>
              <w:left w:val="nil"/>
              <w:bottom w:val="single" w:sz="4" w:space="0" w:color="auto"/>
              <w:right w:val="single" w:sz="4" w:space="0" w:color="auto"/>
            </w:tcBorders>
            <w:shd w:val="clear" w:color="auto" w:fill="auto"/>
            <w:noWrap/>
            <w:vAlign w:val="bottom"/>
            <w:hideMark/>
          </w:tcPr>
          <w:p w14:paraId="56393E74" w14:textId="21E1EE6D" w:rsidR="007B5E5C" w:rsidRPr="00824BC0" w:rsidRDefault="007B5E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6D1DD190" w14:textId="3ED78662" w:rsidR="007B5E5C" w:rsidRPr="00824BC0" w:rsidRDefault="007B5E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2BFD70F5" w14:textId="40E231B1" w:rsidR="007B5E5C" w:rsidRPr="00824BC0" w:rsidRDefault="007B5E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34E3335B" w14:textId="246344A0" w:rsidR="007B5E5C" w:rsidRPr="00824BC0" w:rsidRDefault="007B5E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0.00</w:t>
            </w:r>
          </w:p>
        </w:tc>
        <w:tc>
          <w:tcPr>
            <w:tcW w:w="1620" w:type="dxa"/>
            <w:tcBorders>
              <w:top w:val="nil"/>
              <w:left w:val="nil"/>
              <w:bottom w:val="single" w:sz="4" w:space="0" w:color="auto"/>
              <w:right w:val="single" w:sz="4" w:space="0" w:color="auto"/>
            </w:tcBorders>
            <w:shd w:val="clear" w:color="auto" w:fill="auto"/>
            <w:noWrap/>
            <w:vAlign w:val="bottom"/>
            <w:hideMark/>
          </w:tcPr>
          <w:p w14:paraId="0B36076C" w14:textId="7979AB84" w:rsidR="007B5E5C" w:rsidRPr="00824BC0" w:rsidRDefault="007B5E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0.00</w:t>
            </w:r>
          </w:p>
        </w:tc>
      </w:tr>
      <w:tr w:rsidR="007B5E5C" w:rsidRPr="00824BC0" w14:paraId="3C517892" w14:textId="77777777" w:rsidTr="007B5E5C">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29A5DB53" w14:textId="08C830D6" w:rsidR="007B5E5C" w:rsidRPr="00824BC0" w:rsidRDefault="007B5E5C" w:rsidP="007B5E5C">
            <w:pPr>
              <w:spacing w:after="0" w:line="240" w:lineRule="auto"/>
              <w:ind w:left="-30"/>
              <w:jc w:val="both"/>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May </w:t>
            </w:r>
          </w:p>
        </w:tc>
        <w:tc>
          <w:tcPr>
            <w:tcW w:w="1530" w:type="dxa"/>
            <w:tcBorders>
              <w:top w:val="nil"/>
              <w:left w:val="nil"/>
              <w:bottom w:val="single" w:sz="4" w:space="0" w:color="auto"/>
              <w:right w:val="single" w:sz="4" w:space="0" w:color="auto"/>
            </w:tcBorders>
            <w:shd w:val="clear" w:color="auto" w:fill="auto"/>
            <w:noWrap/>
            <w:vAlign w:val="bottom"/>
            <w:hideMark/>
          </w:tcPr>
          <w:p w14:paraId="5ADBB89F" w14:textId="71B66777" w:rsidR="007B5E5C" w:rsidRPr="00824BC0" w:rsidRDefault="007B5E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3A4691D1" w14:textId="441FABA4" w:rsidR="007B5E5C" w:rsidRPr="00824BC0" w:rsidRDefault="007B5E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552.96 </w:t>
            </w:r>
          </w:p>
        </w:tc>
        <w:tc>
          <w:tcPr>
            <w:tcW w:w="1530" w:type="dxa"/>
            <w:tcBorders>
              <w:top w:val="nil"/>
              <w:left w:val="nil"/>
              <w:bottom w:val="single" w:sz="4" w:space="0" w:color="auto"/>
              <w:right w:val="single" w:sz="4" w:space="0" w:color="auto"/>
            </w:tcBorders>
            <w:shd w:val="clear" w:color="auto" w:fill="auto"/>
            <w:noWrap/>
            <w:vAlign w:val="bottom"/>
            <w:hideMark/>
          </w:tcPr>
          <w:p w14:paraId="4054C18A" w14:textId="0E087D23" w:rsidR="007B5E5C" w:rsidRPr="00824BC0" w:rsidRDefault="007B5E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552.96 </w:t>
            </w:r>
          </w:p>
        </w:tc>
        <w:tc>
          <w:tcPr>
            <w:tcW w:w="1440" w:type="dxa"/>
            <w:tcBorders>
              <w:top w:val="nil"/>
              <w:left w:val="nil"/>
              <w:bottom w:val="single" w:sz="4" w:space="0" w:color="auto"/>
              <w:right w:val="single" w:sz="4" w:space="0" w:color="auto"/>
            </w:tcBorders>
            <w:shd w:val="clear" w:color="auto" w:fill="auto"/>
            <w:noWrap/>
            <w:vAlign w:val="bottom"/>
            <w:hideMark/>
          </w:tcPr>
          <w:p w14:paraId="0E9190F8" w14:textId="04B9567E" w:rsidR="007B5E5C" w:rsidRPr="00824BC0" w:rsidRDefault="007B5E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0.00</w:t>
            </w:r>
          </w:p>
        </w:tc>
        <w:tc>
          <w:tcPr>
            <w:tcW w:w="1620" w:type="dxa"/>
            <w:tcBorders>
              <w:top w:val="nil"/>
              <w:left w:val="nil"/>
              <w:bottom w:val="single" w:sz="4" w:space="0" w:color="auto"/>
              <w:right w:val="single" w:sz="4" w:space="0" w:color="auto"/>
            </w:tcBorders>
            <w:shd w:val="clear" w:color="auto" w:fill="auto"/>
            <w:noWrap/>
            <w:vAlign w:val="bottom"/>
            <w:hideMark/>
          </w:tcPr>
          <w:p w14:paraId="017338AA" w14:textId="76B550EC" w:rsidR="007B5E5C" w:rsidRPr="00824BC0" w:rsidRDefault="007B5E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552.96 </w:t>
            </w:r>
          </w:p>
        </w:tc>
      </w:tr>
      <w:tr w:rsidR="007B5E5C" w:rsidRPr="00824BC0" w14:paraId="66827402" w14:textId="77777777" w:rsidTr="007B5E5C">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1C8B5654" w14:textId="637BC632" w:rsidR="00094F5C" w:rsidRPr="00824BC0" w:rsidRDefault="00094F5C" w:rsidP="007B5E5C">
            <w:pPr>
              <w:spacing w:after="0" w:line="240" w:lineRule="auto"/>
              <w:ind w:left="-30"/>
              <w:jc w:val="both"/>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June </w:t>
            </w:r>
          </w:p>
        </w:tc>
        <w:tc>
          <w:tcPr>
            <w:tcW w:w="1530" w:type="dxa"/>
            <w:tcBorders>
              <w:top w:val="nil"/>
              <w:left w:val="nil"/>
              <w:bottom w:val="single" w:sz="4" w:space="0" w:color="auto"/>
              <w:right w:val="single" w:sz="4" w:space="0" w:color="auto"/>
            </w:tcBorders>
            <w:shd w:val="clear" w:color="auto" w:fill="auto"/>
            <w:noWrap/>
            <w:vAlign w:val="bottom"/>
            <w:hideMark/>
          </w:tcPr>
          <w:p w14:paraId="287B98ED" w14:textId="24EE6A31" w:rsidR="00094F5C" w:rsidRPr="00824BC0" w:rsidRDefault="00094F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552.96 </w:t>
            </w:r>
          </w:p>
        </w:tc>
        <w:tc>
          <w:tcPr>
            <w:tcW w:w="1440" w:type="dxa"/>
            <w:tcBorders>
              <w:top w:val="nil"/>
              <w:left w:val="nil"/>
              <w:bottom w:val="single" w:sz="4" w:space="0" w:color="auto"/>
              <w:right w:val="single" w:sz="4" w:space="0" w:color="auto"/>
            </w:tcBorders>
            <w:shd w:val="clear" w:color="auto" w:fill="auto"/>
            <w:noWrap/>
            <w:vAlign w:val="bottom"/>
            <w:hideMark/>
          </w:tcPr>
          <w:p w14:paraId="28A68FB8" w14:textId="696CA866" w:rsidR="00094F5C" w:rsidRPr="00824BC0" w:rsidRDefault="00094F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2,367.53 </w:t>
            </w:r>
          </w:p>
        </w:tc>
        <w:tc>
          <w:tcPr>
            <w:tcW w:w="1530" w:type="dxa"/>
            <w:tcBorders>
              <w:top w:val="nil"/>
              <w:left w:val="nil"/>
              <w:bottom w:val="single" w:sz="4" w:space="0" w:color="auto"/>
              <w:right w:val="single" w:sz="4" w:space="0" w:color="auto"/>
            </w:tcBorders>
            <w:shd w:val="clear" w:color="auto" w:fill="auto"/>
            <w:noWrap/>
            <w:vAlign w:val="bottom"/>
            <w:hideMark/>
          </w:tcPr>
          <w:p w14:paraId="18E45499" w14:textId="08853FA7" w:rsidR="00094F5C" w:rsidRPr="00824BC0" w:rsidRDefault="00094F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2,920.49 </w:t>
            </w:r>
          </w:p>
        </w:tc>
        <w:tc>
          <w:tcPr>
            <w:tcW w:w="1440" w:type="dxa"/>
            <w:tcBorders>
              <w:top w:val="nil"/>
              <w:left w:val="nil"/>
              <w:bottom w:val="single" w:sz="4" w:space="0" w:color="auto"/>
              <w:right w:val="single" w:sz="4" w:space="0" w:color="auto"/>
            </w:tcBorders>
            <w:shd w:val="clear" w:color="auto" w:fill="auto"/>
            <w:noWrap/>
            <w:vAlign w:val="bottom"/>
            <w:hideMark/>
          </w:tcPr>
          <w:p w14:paraId="0A8E2164" w14:textId="7AE7A109" w:rsidR="00094F5C" w:rsidRPr="00824BC0" w:rsidRDefault="00094F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552.96 </w:t>
            </w:r>
          </w:p>
        </w:tc>
        <w:tc>
          <w:tcPr>
            <w:tcW w:w="1620" w:type="dxa"/>
            <w:tcBorders>
              <w:top w:val="nil"/>
              <w:left w:val="nil"/>
              <w:bottom w:val="single" w:sz="4" w:space="0" w:color="auto"/>
              <w:right w:val="single" w:sz="4" w:space="0" w:color="auto"/>
            </w:tcBorders>
            <w:shd w:val="clear" w:color="auto" w:fill="auto"/>
            <w:noWrap/>
            <w:vAlign w:val="bottom"/>
            <w:hideMark/>
          </w:tcPr>
          <w:p w14:paraId="09A3A876" w14:textId="2319DF64" w:rsidR="00094F5C" w:rsidRPr="00824BC0" w:rsidRDefault="00094F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2,367.53 </w:t>
            </w:r>
          </w:p>
        </w:tc>
      </w:tr>
      <w:tr w:rsidR="007B5E5C" w:rsidRPr="00824BC0" w14:paraId="185A31B5" w14:textId="77777777" w:rsidTr="007B5E5C">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35A952F5" w14:textId="1E6F4D46" w:rsidR="00094F5C" w:rsidRPr="00824BC0" w:rsidRDefault="00094F5C" w:rsidP="007B5E5C">
            <w:pPr>
              <w:spacing w:after="0" w:line="240" w:lineRule="auto"/>
              <w:ind w:left="-30"/>
              <w:jc w:val="both"/>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July </w:t>
            </w:r>
          </w:p>
        </w:tc>
        <w:tc>
          <w:tcPr>
            <w:tcW w:w="1530" w:type="dxa"/>
            <w:tcBorders>
              <w:top w:val="nil"/>
              <w:left w:val="nil"/>
              <w:bottom w:val="single" w:sz="4" w:space="0" w:color="auto"/>
              <w:right w:val="single" w:sz="4" w:space="0" w:color="auto"/>
            </w:tcBorders>
            <w:shd w:val="clear" w:color="auto" w:fill="auto"/>
            <w:noWrap/>
            <w:vAlign w:val="bottom"/>
            <w:hideMark/>
          </w:tcPr>
          <w:p w14:paraId="3BE05FDD" w14:textId="329BC264" w:rsidR="00094F5C" w:rsidRPr="00824BC0" w:rsidRDefault="00094F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2,367.53 </w:t>
            </w:r>
          </w:p>
        </w:tc>
        <w:tc>
          <w:tcPr>
            <w:tcW w:w="1440" w:type="dxa"/>
            <w:tcBorders>
              <w:top w:val="nil"/>
              <w:left w:val="nil"/>
              <w:bottom w:val="single" w:sz="4" w:space="0" w:color="auto"/>
              <w:right w:val="single" w:sz="4" w:space="0" w:color="auto"/>
            </w:tcBorders>
            <w:shd w:val="clear" w:color="auto" w:fill="auto"/>
            <w:noWrap/>
            <w:vAlign w:val="bottom"/>
            <w:hideMark/>
          </w:tcPr>
          <w:p w14:paraId="29CA797A" w14:textId="1C7D3F9C" w:rsidR="00094F5C" w:rsidRPr="00824BC0" w:rsidRDefault="00094F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587.00 </w:t>
            </w:r>
          </w:p>
        </w:tc>
        <w:tc>
          <w:tcPr>
            <w:tcW w:w="1530" w:type="dxa"/>
            <w:tcBorders>
              <w:top w:val="nil"/>
              <w:left w:val="nil"/>
              <w:bottom w:val="single" w:sz="4" w:space="0" w:color="auto"/>
              <w:right w:val="single" w:sz="4" w:space="0" w:color="auto"/>
            </w:tcBorders>
            <w:shd w:val="clear" w:color="auto" w:fill="auto"/>
            <w:noWrap/>
            <w:vAlign w:val="bottom"/>
            <w:hideMark/>
          </w:tcPr>
          <w:p w14:paraId="57A30F24" w14:textId="0BFE0FE1" w:rsidR="00094F5C" w:rsidRPr="00824BC0" w:rsidRDefault="00094F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2,954.53 </w:t>
            </w:r>
          </w:p>
        </w:tc>
        <w:tc>
          <w:tcPr>
            <w:tcW w:w="1440" w:type="dxa"/>
            <w:tcBorders>
              <w:top w:val="nil"/>
              <w:left w:val="nil"/>
              <w:bottom w:val="single" w:sz="4" w:space="0" w:color="auto"/>
              <w:right w:val="single" w:sz="4" w:space="0" w:color="auto"/>
            </w:tcBorders>
            <w:shd w:val="clear" w:color="auto" w:fill="auto"/>
            <w:noWrap/>
            <w:vAlign w:val="bottom"/>
            <w:hideMark/>
          </w:tcPr>
          <w:p w14:paraId="2588BF68" w14:textId="2CB3D3CD" w:rsidR="00094F5C" w:rsidRPr="00824BC0" w:rsidRDefault="00094F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2,367.53 </w:t>
            </w:r>
          </w:p>
        </w:tc>
        <w:tc>
          <w:tcPr>
            <w:tcW w:w="1620" w:type="dxa"/>
            <w:tcBorders>
              <w:top w:val="nil"/>
              <w:left w:val="nil"/>
              <w:bottom w:val="single" w:sz="4" w:space="0" w:color="auto"/>
              <w:right w:val="single" w:sz="4" w:space="0" w:color="auto"/>
            </w:tcBorders>
            <w:shd w:val="clear" w:color="auto" w:fill="auto"/>
            <w:noWrap/>
            <w:vAlign w:val="bottom"/>
            <w:hideMark/>
          </w:tcPr>
          <w:p w14:paraId="0A23BEC5" w14:textId="09D127A2" w:rsidR="00094F5C" w:rsidRPr="00824BC0" w:rsidRDefault="00094F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587.00 </w:t>
            </w:r>
          </w:p>
        </w:tc>
      </w:tr>
      <w:tr w:rsidR="007B5E5C" w:rsidRPr="00824BC0" w14:paraId="4C8D693D" w14:textId="77777777" w:rsidTr="007B5E5C">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5731B1B0" w14:textId="2EF4397E" w:rsidR="00094F5C" w:rsidRPr="00824BC0" w:rsidRDefault="00094F5C" w:rsidP="007B5E5C">
            <w:pPr>
              <w:spacing w:after="0" w:line="240" w:lineRule="auto"/>
              <w:ind w:left="-30"/>
              <w:jc w:val="both"/>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August </w:t>
            </w:r>
          </w:p>
        </w:tc>
        <w:tc>
          <w:tcPr>
            <w:tcW w:w="1530" w:type="dxa"/>
            <w:tcBorders>
              <w:top w:val="nil"/>
              <w:left w:val="nil"/>
              <w:bottom w:val="single" w:sz="4" w:space="0" w:color="auto"/>
              <w:right w:val="single" w:sz="4" w:space="0" w:color="auto"/>
            </w:tcBorders>
            <w:shd w:val="clear" w:color="auto" w:fill="auto"/>
            <w:noWrap/>
            <w:vAlign w:val="bottom"/>
            <w:hideMark/>
          </w:tcPr>
          <w:p w14:paraId="287A8AF9" w14:textId="37EA2242" w:rsidR="00094F5C" w:rsidRPr="00824BC0" w:rsidRDefault="00094F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587.00 </w:t>
            </w:r>
          </w:p>
        </w:tc>
        <w:tc>
          <w:tcPr>
            <w:tcW w:w="1440" w:type="dxa"/>
            <w:tcBorders>
              <w:top w:val="nil"/>
              <w:left w:val="nil"/>
              <w:bottom w:val="single" w:sz="4" w:space="0" w:color="auto"/>
              <w:right w:val="single" w:sz="4" w:space="0" w:color="auto"/>
            </w:tcBorders>
            <w:shd w:val="clear" w:color="auto" w:fill="auto"/>
            <w:noWrap/>
            <w:vAlign w:val="bottom"/>
            <w:hideMark/>
          </w:tcPr>
          <w:p w14:paraId="00324ABA" w14:textId="2C30FE7E" w:rsidR="00094F5C" w:rsidRPr="00824BC0" w:rsidRDefault="00094F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815.00 </w:t>
            </w:r>
          </w:p>
        </w:tc>
        <w:tc>
          <w:tcPr>
            <w:tcW w:w="1530" w:type="dxa"/>
            <w:tcBorders>
              <w:top w:val="nil"/>
              <w:left w:val="nil"/>
              <w:bottom w:val="single" w:sz="4" w:space="0" w:color="auto"/>
              <w:right w:val="single" w:sz="4" w:space="0" w:color="auto"/>
            </w:tcBorders>
            <w:shd w:val="clear" w:color="auto" w:fill="auto"/>
            <w:noWrap/>
            <w:vAlign w:val="bottom"/>
            <w:hideMark/>
          </w:tcPr>
          <w:p w14:paraId="24697400" w14:textId="6E9FEA4F" w:rsidR="00094F5C" w:rsidRPr="00824BC0" w:rsidRDefault="00094F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1,402.00 </w:t>
            </w:r>
          </w:p>
        </w:tc>
        <w:tc>
          <w:tcPr>
            <w:tcW w:w="1440" w:type="dxa"/>
            <w:tcBorders>
              <w:top w:val="nil"/>
              <w:left w:val="nil"/>
              <w:bottom w:val="single" w:sz="4" w:space="0" w:color="auto"/>
              <w:right w:val="single" w:sz="4" w:space="0" w:color="auto"/>
            </w:tcBorders>
            <w:shd w:val="clear" w:color="auto" w:fill="auto"/>
            <w:noWrap/>
            <w:vAlign w:val="bottom"/>
            <w:hideMark/>
          </w:tcPr>
          <w:p w14:paraId="7C93E0D7" w14:textId="07ECBDEE" w:rsidR="00094F5C" w:rsidRPr="00824BC0" w:rsidRDefault="00094F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587.00 </w:t>
            </w:r>
          </w:p>
        </w:tc>
        <w:tc>
          <w:tcPr>
            <w:tcW w:w="1620" w:type="dxa"/>
            <w:tcBorders>
              <w:top w:val="nil"/>
              <w:left w:val="nil"/>
              <w:bottom w:val="single" w:sz="4" w:space="0" w:color="auto"/>
              <w:right w:val="single" w:sz="4" w:space="0" w:color="auto"/>
            </w:tcBorders>
            <w:shd w:val="clear" w:color="auto" w:fill="auto"/>
            <w:noWrap/>
            <w:vAlign w:val="bottom"/>
            <w:hideMark/>
          </w:tcPr>
          <w:p w14:paraId="50259336" w14:textId="203F1639" w:rsidR="00094F5C" w:rsidRPr="00824BC0" w:rsidRDefault="00094F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815.00 </w:t>
            </w:r>
          </w:p>
        </w:tc>
      </w:tr>
      <w:tr w:rsidR="007B5E5C" w:rsidRPr="00824BC0" w14:paraId="650BD8C7" w14:textId="77777777" w:rsidTr="007B5E5C">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680B3534" w14:textId="6A4E600D" w:rsidR="00094F5C" w:rsidRPr="00824BC0" w:rsidRDefault="00094F5C" w:rsidP="007B5E5C">
            <w:pPr>
              <w:spacing w:after="0" w:line="240" w:lineRule="auto"/>
              <w:ind w:left="-30"/>
              <w:jc w:val="both"/>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September </w:t>
            </w:r>
          </w:p>
        </w:tc>
        <w:tc>
          <w:tcPr>
            <w:tcW w:w="1530" w:type="dxa"/>
            <w:tcBorders>
              <w:top w:val="nil"/>
              <w:left w:val="nil"/>
              <w:bottom w:val="single" w:sz="4" w:space="0" w:color="auto"/>
              <w:right w:val="single" w:sz="4" w:space="0" w:color="auto"/>
            </w:tcBorders>
            <w:shd w:val="clear" w:color="auto" w:fill="auto"/>
            <w:noWrap/>
            <w:vAlign w:val="bottom"/>
            <w:hideMark/>
          </w:tcPr>
          <w:p w14:paraId="11050940" w14:textId="2F445C7A" w:rsidR="00094F5C" w:rsidRPr="00824BC0" w:rsidRDefault="00094F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815.00 </w:t>
            </w:r>
          </w:p>
        </w:tc>
        <w:tc>
          <w:tcPr>
            <w:tcW w:w="1440" w:type="dxa"/>
            <w:tcBorders>
              <w:top w:val="nil"/>
              <w:left w:val="nil"/>
              <w:bottom w:val="single" w:sz="4" w:space="0" w:color="auto"/>
              <w:right w:val="single" w:sz="4" w:space="0" w:color="auto"/>
            </w:tcBorders>
            <w:shd w:val="clear" w:color="auto" w:fill="auto"/>
            <w:noWrap/>
            <w:vAlign w:val="bottom"/>
            <w:hideMark/>
          </w:tcPr>
          <w:p w14:paraId="09408B4F" w14:textId="6C9C9101" w:rsidR="00094F5C" w:rsidRPr="00824BC0" w:rsidRDefault="00094F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748.26 </w:t>
            </w:r>
          </w:p>
        </w:tc>
        <w:tc>
          <w:tcPr>
            <w:tcW w:w="1530" w:type="dxa"/>
            <w:tcBorders>
              <w:top w:val="nil"/>
              <w:left w:val="nil"/>
              <w:bottom w:val="single" w:sz="4" w:space="0" w:color="auto"/>
              <w:right w:val="single" w:sz="4" w:space="0" w:color="auto"/>
            </w:tcBorders>
            <w:shd w:val="clear" w:color="auto" w:fill="auto"/>
            <w:noWrap/>
            <w:vAlign w:val="bottom"/>
            <w:hideMark/>
          </w:tcPr>
          <w:p w14:paraId="0C2D0BE0" w14:textId="4D73C7A7" w:rsidR="00094F5C" w:rsidRPr="00824BC0" w:rsidRDefault="00094F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1,563.26 </w:t>
            </w:r>
          </w:p>
        </w:tc>
        <w:tc>
          <w:tcPr>
            <w:tcW w:w="1440" w:type="dxa"/>
            <w:tcBorders>
              <w:top w:val="nil"/>
              <w:left w:val="nil"/>
              <w:bottom w:val="single" w:sz="4" w:space="0" w:color="auto"/>
              <w:right w:val="single" w:sz="4" w:space="0" w:color="auto"/>
            </w:tcBorders>
            <w:shd w:val="clear" w:color="auto" w:fill="auto"/>
            <w:noWrap/>
            <w:vAlign w:val="bottom"/>
            <w:hideMark/>
          </w:tcPr>
          <w:p w14:paraId="372D505D" w14:textId="6DBF27E8" w:rsidR="00094F5C" w:rsidRPr="00824BC0" w:rsidRDefault="00094F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815.00 </w:t>
            </w:r>
          </w:p>
        </w:tc>
        <w:tc>
          <w:tcPr>
            <w:tcW w:w="1620" w:type="dxa"/>
            <w:tcBorders>
              <w:top w:val="nil"/>
              <w:left w:val="nil"/>
              <w:bottom w:val="single" w:sz="4" w:space="0" w:color="auto"/>
              <w:right w:val="single" w:sz="4" w:space="0" w:color="auto"/>
            </w:tcBorders>
            <w:shd w:val="clear" w:color="auto" w:fill="auto"/>
            <w:noWrap/>
            <w:vAlign w:val="bottom"/>
            <w:hideMark/>
          </w:tcPr>
          <w:p w14:paraId="6070DE45" w14:textId="596AF21B" w:rsidR="00094F5C" w:rsidRPr="00824BC0" w:rsidRDefault="00094F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748.26 </w:t>
            </w:r>
          </w:p>
        </w:tc>
      </w:tr>
      <w:tr w:rsidR="007B5E5C" w:rsidRPr="00824BC0" w14:paraId="3BC24984" w14:textId="77777777" w:rsidTr="007B5E5C">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128830B9" w14:textId="5BC7C549" w:rsidR="00094F5C" w:rsidRPr="00824BC0" w:rsidRDefault="00094F5C" w:rsidP="007B5E5C">
            <w:pPr>
              <w:spacing w:after="0" w:line="240" w:lineRule="auto"/>
              <w:ind w:left="-30"/>
              <w:jc w:val="both"/>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October </w:t>
            </w:r>
          </w:p>
        </w:tc>
        <w:tc>
          <w:tcPr>
            <w:tcW w:w="1530" w:type="dxa"/>
            <w:tcBorders>
              <w:top w:val="nil"/>
              <w:left w:val="nil"/>
              <w:bottom w:val="single" w:sz="4" w:space="0" w:color="auto"/>
              <w:right w:val="single" w:sz="4" w:space="0" w:color="auto"/>
            </w:tcBorders>
            <w:shd w:val="clear" w:color="auto" w:fill="auto"/>
            <w:noWrap/>
            <w:vAlign w:val="bottom"/>
            <w:hideMark/>
          </w:tcPr>
          <w:p w14:paraId="0DC1E84D" w14:textId="76D6D557" w:rsidR="00094F5C" w:rsidRPr="00824BC0" w:rsidRDefault="00094F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748.26 </w:t>
            </w:r>
          </w:p>
        </w:tc>
        <w:tc>
          <w:tcPr>
            <w:tcW w:w="1440" w:type="dxa"/>
            <w:tcBorders>
              <w:top w:val="nil"/>
              <w:left w:val="nil"/>
              <w:bottom w:val="single" w:sz="4" w:space="0" w:color="auto"/>
              <w:right w:val="single" w:sz="4" w:space="0" w:color="auto"/>
            </w:tcBorders>
            <w:shd w:val="clear" w:color="auto" w:fill="auto"/>
            <w:noWrap/>
            <w:vAlign w:val="bottom"/>
            <w:hideMark/>
          </w:tcPr>
          <w:p w14:paraId="62F98333" w14:textId="2AC35B26" w:rsidR="00094F5C" w:rsidRPr="00824BC0" w:rsidRDefault="00094F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953.17 </w:t>
            </w:r>
          </w:p>
        </w:tc>
        <w:tc>
          <w:tcPr>
            <w:tcW w:w="1530" w:type="dxa"/>
            <w:tcBorders>
              <w:top w:val="nil"/>
              <w:left w:val="nil"/>
              <w:bottom w:val="single" w:sz="4" w:space="0" w:color="auto"/>
              <w:right w:val="single" w:sz="4" w:space="0" w:color="auto"/>
            </w:tcBorders>
            <w:shd w:val="clear" w:color="auto" w:fill="auto"/>
            <w:noWrap/>
            <w:vAlign w:val="bottom"/>
            <w:hideMark/>
          </w:tcPr>
          <w:p w14:paraId="192B2255" w14:textId="238C940D" w:rsidR="00094F5C" w:rsidRPr="00824BC0" w:rsidRDefault="00094F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1,701.43 </w:t>
            </w:r>
          </w:p>
        </w:tc>
        <w:tc>
          <w:tcPr>
            <w:tcW w:w="1440" w:type="dxa"/>
            <w:tcBorders>
              <w:top w:val="nil"/>
              <w:left w:val="nil"/>
              <w:bottom w:val="single" w:sz="4" w:space="0" w:color="auto"/>
              <w:right w:val="single" w:sz="4" w:space="0" w:color="auto"/>
            </w:tcBorders>
            <w:shd w:val="clear" w:color="auto" w:fill="auto"/>
            <w:noWrap/>
            <w:vAlign w:val="bottom"/>
            <w:hideMark/>
          </w:tcPr>
          <w:p w14:paraId="26D0D273" w14:textId="631888FE" w:rsidR="00094F5C" w:rsidRPr="00824BC0" w:rsidRDefault="00094F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748.26 </w:t>
            </w:r>
          </w:p>
        </w:tc>
        <w:tc>
          <w:tcPr>
            <w:tcW w:w="1620" w:type="dxa"/>
            <w:tcBorders>
              <w:top w:val="nil"/>
              <w:left w:val="nil"/>
              <w:bottom w:val="single" w:sz="4" w:space="0" w:color="auto"/>
              <w:right w:val="single" w:sz="4" w:space="0" w:color="auto"/>
            </w:tcBorders>
            <w:shd w:val="clear" w:color="auto" w:fill="auto"/>
            <w:noWrap/>
            <w:vAlign w:val="bottom"/>
            <w:hideMark/>
          </w:tcPr>
          <w:p w14:paraId="342648C4" w14:textId="3F4C630C" w:rsidR="00094F5C" w:rsidRPr="00824BC0" w:rsidRDefault="00094F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953.17 </w:t>
            </w:r>
          </w:p>
        </w:tc>
      </w:tr>
      <w:tr w:rsidR="007B5E5C" w:rsidRPr="00824BC0" w14:paraId="741A6E73" w14:textId="77777777" w:rsidTr="007B5E5C">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278B1D47" w14:textId="66CE04A3" w:rsidR="007B5E5C" w:rsidRPr="00824BC0" w:rsidRDefault="00123904" w:rsidP="007B5E5C">
            <w:pPr>
              <w:spacing w:after="0" w:line="240" w:lineRule="auto"/>
              <w:ind w:left="-30"/>
              <w:jc w:val="both"/>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N</w:t>
            </w:r>
            <w:r w:rsidR="007B5E5C" w:rsidRPr="00824BC0">
              <w:rPr>
                <w:rFonts w:ascii="Times New Roman" w:eastAsia="Times New Roman" w:hAnsi="Times New Roman" w:cs="Times New Roman"/>
                <w:color w:val="000000"/>
                <w:lang w:eastAsia="en-PH"/>
              </w:rPr>
              <w:t xml:space="preserve">ovember </w:t>
            </w:r>
          </w:p>
        </w:tc>
        <w:tc>
          <w:tcPr>
            <w:tcW w:w="1530" w:type="dxa"/>
            <w:tcBorders>
              <w:top w:val="nil"/>
              <w:left w:val="nil"/>
              <w:bottom w:val="single" w:sz="4" w:space="0" w:color="auto"/>
              <w:right w:val="single" w:sz="4" w:space="0" w:color="auto"/>
            </w:tcBorders>
            <w:shd w:val="clear" w:color="auto" w:fill="auto"/>
            <w:noWrap/>
            <w:vAlign w:val="bottom"/>
            <w:hideMark/>
          </w:tcPr>
          <w:p w14:paraId="1EEEFBD8" w14:textId="708096FA" w:rsidR="007B5E5C" w:rsidRPr="00824BC0" w:rsidRDefault="007B5E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953.17 </w:t>
            </w:r>
          </w:p>
        </w:tc>
        <w:tc>
          <w:tcPr>
            <w:tcW w:w="1440" w:type="dxa"/>
            <w:tcBorders>
              <w:top w:val="nil"/>
              <w:left w:val="nil"/>
              <w:bottom w:val="single" w:sz="4" w:space="0" w:color="auto"/>
              <w:right w:val="single" w:sz="4" w:space="0" w:color="auto"/>
            </w:tcBorders>
            <w:shd w:val="clear" w:color="auto" w:fill="auto"/>
            <w:noWrap/>
            <w:vAlign w:val="bottom"/>
            <w:hideMark/>
          </w:tcPr>
          <w:p w14:paraId="51405925" w14:textId="67903C09" w:rsidR="007B5E5C" w:rsidRPr="00824BC0" w:rsidRDefault="007B5E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2CA8CBD1" w14:textId="102CE9F0" w:rsidR="007B5E5C" w:rsidRPr="00824BC0" w:rsidRDefault="007B5E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953.17 </w:t>
            </w:r>
          </w:p>
        </w:tc>
        <w:tc>
          <w:tcPr>
            <w:tcW w:w="1440" w:type="dxa"/>
            <w:tcBorders>
              <w:top w:val="nil"/>
              <w:left w:val="nil"/>
              <w:bottom w:val="single" w:sz="4" w:space="0" w:color="auto"/>
              <w:right w:val="single" w:sz="4" w:space="0" w:color="auto"/>
            </w:tcBorders>
            <w:shd w:val="clear" w:color="auto" w:fill="auto"/>
            <w:noWrap/>
            <w:vAlign w:val="bottom"/>
            <w:hideMark/>
          </w:tcPr>
          <w:p w14:paraId="629FCF90" w14:textId="26174C12" w:rsidR="007B5E5C" w:rsidRPr="00824BC0" w:rsidRDefault="007B5E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953.17 </w:t>
            </w:r>
          </w:p>
        </w:tc>
        <w:tc>
          <w:tcPr>
            <w:tcW w:w="1620" w:type="dxa"/>
            <w:tcBorders>
              <w:top w:val="nil"/>
              <w:left w:val="nil"/>
              <w:bottom w:val="single" w:sz="4" w:space="0" w:color="auto"/>
              <w:right w:val="single" w:sz="4" w:space="0" w:color="auto"/>
            </w:tcBorders>
            <w:shd w:val="clear" w:color="auto" w:fill="auto"/>
            <w:noWrap/>
            <w:vAlign w:val="bottom"/>
            <w:hideMark/>
          </w:tcPr>
          <w:p w14:paraId="27EAC1D2" w14:textId="09C66B7A" w:rsidR="007B5E5C" w:rsidRPr="00824BC0" w:rsidRDefault="007B5E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0.00</w:t>
            </w:r>
          </w:p>
        </w:tc>
      </w:tr>
      <w:tr w:rsidR="007B5E5C" w:rsidRPr="00824BC0" w14:paraId="06BFA8B7" w14:textId="77777777" w:rsidTr="007B5E5C">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350C37D3" w14:textId="5AF37D53" w:rsidR="007B5E5C" w:rsidRPr="00824BC0" w:rsidRDefault="007B5E5C" w:rsidP="007B5E5C">
            <w:pPr>
              <w:spacing w:after="0" w:line="240" w:lineRule="auto"/>
              <w:ind w:left="-30"/>
              <w:jc w:val="both"/>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December </w:t>
            </w:r>
          </w:p>
        </w:tc>
        <w:tc>
          <w:tcPr>
            <w:tcW w:w="1530" w:type="dxa"/>
            <w:tcBorders>
              <w:top w:val="nil"/>
              <w:left w:val="nil"/>
              <w:bottom w:val="single" w:sz="4" w:space="0" w:color="auto"/>
              <w:right w:val="single" w:sz="4" w:space="0" w:color="auto"/>
            </w:tcBorders>
            <w:shd w:val="clear" w:color="auto" w:fill="auto"/>
            <w:noWrap/>
            <w:vAlign w:val="bottom"/>
            <w:hideMark/>
          </w:tcPr>
          <w:p w14:paraId="30C671D8" w14:textId="48F4428B" w:rsidR="007B5E5C" w:rsidRPr="00824BC0" w:rsidRDefault="007B5E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480A3D4A" w14:textId="0894C09A" w:rsidR="007B5E5C" w:rsidRPr="00824BC0" w:rsidRDefault="007B5E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1,481.94 </w:t>
            </w:r>
          </w:p>
        </w:tc>
        <w:tc>
          <w:tcPr>
            <w:tcW w:w="1530" w:type="dxa"/>
            <w:tcBorders>
              <w:top w:val="nil"/>
              <w:left w:val="nil"/>
              <w:bottom w:val="single" w:sz="4" w:space="0" w:color="auto"/>
              <w:right w:val="single" w:sz="4" w:space="0" w:color="auto"/>
            </w:tcBorders>
            <w:shd w:val="clear" w:color="auto" w:fill="auto"/>
            <w:noWrap/>
            <w:vAlign w:val="bottom"/>
            <w:hideMark/>
          </w:tcPr>
          <w:p w14:paraId="4BDE2735" w14:textId="4DAD9030" w:rsidR="007B5E5C" w:rsidRPr="00824BC0" w:rsidRDefault="007B5E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1,481.94 </w:t>
            </w:r>
          </w:p>
        </w:tc>
        <w:tc>
          <w:tcPr>
            <w:tcW w:w="1440" w:type="dxa"/>
            <w:tcBorders>
              <w:top w:val="nil"/>
              <w:left w:val="nil"/>
              <w:bottom w:val="single" w:sz="4" w:space="0" w:color="auto"/>
              <w:right w:val="single" w:sz="4" w:space="0" w:color="auto"/>
            </w:tcBorders>
            <w:shd w:val="clear" w:color="auto" w:fill="auto"/>
            <w:noWrap/>
            <w:vAlign w:val="bottom"/>
            <w:hideMark/>
          </w:tcPr>
          <w:p w14:paraId="2493089A" w14:textId="16C574F9" w:rsidR="007B5E5C" w:rsidRPr="00824BC0" w:rsidRDefault="007B5E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0.00</w:t>
            </w:r>
          </w:p>
        </w:tc>
        <w:tc>
          <w:tcPr>
            <w:tcW w:w="1620" w:type="dxa"/>
            <w:tcBorders>
              <w:top w:val="nil"/>
              <w:left w:val="nil"/>
              <w:bottom w:val="single" w:sz="4" w:space="0" w:color="auto"/>
              <w:right w:val="single" w:sz="4" w:space="0" w:color="auto"/>
            </w:tcBorders>
            <w:shd w:val="clear" w:color="auto" w:fill="auto"/>
            <w:noWrap/>
            <w:vAlign w:val="bottom"/>
            <w:hideMark/>
          </w:tcPr>
          <w:p w14:paraId="37BDC873" w14:textId="16815CC7" w:rsidR="007B5E5C" w:rsidRPr="00824BC0" w:rsidRDefault="007B5E5C" w:rsidP="007B5E5C">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1,481.94 </w:t>
            </w:r>
          </w:p>
        </w:tc>
      </w:tr>
    </w:tbl>
    <w:p w14:paraId="5E73E1A6" w14:textId="06A5FF2D" w:rsidR="003A5945" w:rsidRPr="00824BC0" w:rsidRDefault="003A5945" w:rsidP="003A5945">
      <w:pPr>
        <w:spacing w:after="0"/>
        <w:jc w:val="both"/>
        <w:rPr>
          <w:rFonts w:ascii="Times New Roman" w:hAnsi="Times New Roman" w:cs="Times New Roman"/>
          <w:bCs/>
          <w:sz w:val="24"/>
          <w:szCs w:val="24"/>
        </w:rPr>
      </w:pPr>
    </w:p>
    <w:p w14:paraId="293B1101" w14:textId="77777777" w:rsidR="00100AFA" w:rsidRPr="00824BC0" w:rsidRDefault="00100AFA" w:rsidP="003A5945">
      <w:pPr>
        <w:spacing w:after="0"/>
        <w:jc w:val="both"/>
        <w:rPr>
          <w:rFonts w:ascii="Times New Roman" w:hAnsi="Times New Roman" w:cs="Times New Roman"/>
          <w:bCs/>
          <w:sz w:val="24"/>
          <w:szCs w:val="24"/>
        </w:rPr>
      </w:pPr>
    </w:p>
    <w:tbl>
      <w:tblPr>
        <w:tblW w:w="8725" w:type="dxa"/>
        <w:tblLook w:val="04A0" w:firstRow="1" w:lastRow="0" w:firstColumn="1" w:lastColumn="0" w:noHBand="0" w:noVBand="1"/>
      </w:tblPr>
      <w:tblGrid>
        <w:gridCol w:w="1165"/>
        <w:gridCol w:w="1530"/>
        <w:gridCol w:w="1440"/>
        <w:gridCol w:w="1530"/>
        <w:gridCol w:w="1440"/>
        <w:gridCol w:w="1620"/>
      </w:tblGrid>
      <w:tr w:rsidR="003A5945" w:rsidRPr="00824BC0" w14:paraId="53981325" w14:textId="77777777" w:rsidTr="00113EBF">
        <w:trPr>
          <w:trHeight w:val="600"/>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29060" w14:textId="77777777" w:rsidR="003A5945" w:rsidRPr="00824BC0" w:rsidRDefault="003A5945" w:rsidP="003A5945">
            <w:pPr>
              <w:spacing w:after="0" w:line="240" w:lineRule="auto"/>
              <w:jc w:val="center"/>
              <w:rPr>
                <w:rFonts w:ascii="Times New Roman" w:eastAsia="Times New Roman" w:hAnsi="Times New Roman" w:cs="Times New Roman"/>
                <w:b/>
                <w:bCs/>
                <w:color w:val="000000"/>
                <w:lang w:eastAsia="en-PH"/>
              </w:rPr>
            </w:pPr>
            <w:r w:rsidRPr="00824BC0">
              <w:rPr>
                <w:rFonts w:ascii="Times New Roman" w:eastAsia="Times New Roman" w:hAnsi="Times New Roman" w:cs="Times New Roman"/>
                <w:b/>
                <w:bCs/>
                <w:color w:val="000000"/>
                <w:lang w:eastAsia="en-PH"/>
              </w:rPr>
              <w:t xml:space="preserve">Trust Fund (164)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9098286" w14:textId="77777777" w:rsidR="003A5945" w:rsidRPr="00824BC0" w:rsidRDefault="003A5945" w:rsidP="003A5945">
            <w:pPr>
              <w:spacing w:after="0" w:line="240" w:lineRule="auto"/>
              <w:jc w:val="center"/>
              <w:rPr>
                <w:rFonts w:ascii="Times New Roman" w:eastAsia="Times New Roman" w:hAnsi="Times New Roman" w:cs="Times New Roman"/>
                <w:b/>
                <w:bCs/>
                <w:color w:val="000000"/>
                <w:lang w:eastAsia="en-PH"/>
              </w:rPr>
            </w:pPr>
            <w:r w:rsidRPr="00824BC0">
              <w:rPr>
                <w:rFonts w:ascii="Times New Roman" w:eastAsia="Times New Roman" w:hAnsi="Times New Roman" w:cs="Times New Roman"/>
                <w:b/>
                <w:bCs/>
                <w:color w:val="000000"/>
                <w:lang w:eastAsia="en-PH"/>
              </w:rPr>
              <w:t xml:space="preserve"> Beginning Balance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CE12BBE" w14:textId="77777777" w:rsidR="003A5945" w:rsidRPr="00824BC0" w:rsidRDefault="003A5945" w:rsidP="003A5945">
            <w:pPr>
              <w:spacing w:after="0" w:line="240" w:lineRule="auto"/>
              <w:jc w:val="center"/>
              <w:rPr>
                <w:rFonts w:ascii="Times New Roman" w:eastAsia="Times New Roman" w:hAnsi="Times New Roman" w:cs="Times New Roman"/>
                <w:b/>
                <w:bCs/>
                <w:color w:val="000000"/>
                <w:lang w:eastAsia="en-PH"/>
              </w:rPr>
            </w:pPr>
            <w:r w:rsidRPr="00824BC0">
              <w:rPr>
                <w:rFonts w:ascii="Times New Roman" w:eastAsia="Times New Roman" w:hAnsi="Times New Roman" w:cs="Times New Roman"/>
                <w:b/>
                <w:bCs/>
                <w:color w:val="000000"/>
                <w:lang w:eastAsia="en-PH"/>
              </w:rPr>
              <w:t xml:space="preserve"> Taxes Withheld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557E26E" w14:textId="32CBB96F" w:rsidR="003A5945" w:rsidRPr="00824BC0" w:rsidRDefault="003A5945" w:rsidP="003A5945">
            <w:pPr>
              <w:spacing w:after="0" w:line="240" w:lineRule="auto"/>
              <w:jc w:val="center"/>
              <w:rPr>
                <w:rFonts w:ascii="Times New Roman" w:eastAsia="Times New Roman" w:hAnsi="Times New Roman" w:cs="Times New Roman"/>
                <w:b/>
                <w:bCs/>
                <w:color w:val="000000"/>
                <w:lang w:eastAsia="en-PH"/>
              </w:rPr>
            </w:pPr>
            <w:r w:rsidRPr="00824BC0">
              <w:rPr>
                <w:rFonts w:ascii="Times New Roman" w:eastAsia="Times New Roman" w:hAnsi="Times New Roman" w:cs="Times New Roman"/>
                <w:b/>
                <w:bCs/>
                <w:color w:val="000000"/>
                <w:lang w:eastAsia="en-PH"/>
              </w:rPr>
              <w:t xml:space="preserve"> </w:t>
            </w:r>
            <w:r w:rsidR="00094B5D" w:rsidRPr="00824BC0">
              <w:rPr>
                <w:rFonts w:ascii="Times New Roman" w:eastAsia="Times New Roman" w:hAnsi="Times New Roman" w:cs="Times New Roman"/>
                <w:b/>
                <w:bCs/>
                <w:color w:val="000000"/>
                <w:lang w:eastAsia="en-PH"/>
              </w:rPr>
              <w:t xml:space="preserve">Total for Remittance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7965799" w14:textId="77777777" w:rsidR="003A5945" w:rsidRPr="00824BC0" w:rsidRDefault="003A5945" w:rsidP="003A5945">
            <w:pPr>
              <w:spacing w:after="0" w:line="240" w:lineRule="auto"/>
              <w:jc w:val="center"/>
              <w:rPr>
                <w:rFonts w:ascii="Times New Roman" w:eastAsia="Times New Roman" w:hAnsi="Times New Roman" w:cs="Times New Roman"/>
                <w:b/>
                <w:bCs/>
                <w:color w:val="000000"/>
                <w:lang w:eastAsia="en-PH"/>
              </w:rPr>
            </w:pPr>
            <w:r w:rsidRPr="00824BC0">
              <w:rPr>
                <w:rFonts w:ascii="Times New Roman" w:eastAsia="Times New Roman" w:hAnsi="Times New Roman" w:cs="Times New Roman"/>
                <w:b/>
                <w:bCs/>
                <w:color w:val="000000"/>
                <w:lang w:eastAsia="en-PH"/>
              </w:rPr>
              <w:t xml:space="preserve"> Taxes Remitted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DAB66EB" w14:textId="77777777" w:rsidR="003A5945" w:rsidRPr="00824BC0" w:rsidRDefault="003A5945" w:rsidP="003A5945">
            <w:pPr>
              <w:spacing w:after="0" w:line="240" w:lineRule="auto"/>
              <w:jc w:val="center"/>
              <w:rPr>
                <w:rFonts w:ascii="Times New Roman" w:eastAsia="Times New Roman" w:hAnsi="Times New Roman" w:cs="Times New Roman"/>
                <w:b/>
                <w:bCs/>
                <w:color w:val="000000"/>
                <w:lang w:eastAsia="en-PH"/>
              </w:rPr>
            </w:pPr>
            <w:r w:rsidRPr="00824BC0">
              <w:rPr>
                <w:rFonts w:ascii="Times New Roman" w:eastAsia="Times New Roman" w:hAnsi="Times New Roman" w:cs="Times New Roman"/>
                <w:b/>
                <w:bCs/>
                <w:color w:val="000000"/>
                <w:lang w:eastAsia="en-PH"/>
              </w:rPr>
              <w:t xml:space="preserve"> Ending Balance </w:t>
            </w:r>
          </w:p>
        </w:tc>
      </w:tr>
      <w:tr w:rsidR="003A5945" w:rsidRPr="00824BC0" w14:paraId="0FC059DF" w14:textId="77777777" w:rsidTr="00113EBF">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0C23611D" w14:textId="77777777" w:rsidR="003A5945" w:rsidRPr="00824BC0" w:rsidRDefault="003A5945" w:rsidP="003A5945">
            <w:pPr>
              <w:spacing w:after="0" w:line="240" w:lineRule="auto"/>
              <w:jc w:val="center"/>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2021</w:t>
            </w:r>
          </w:p>
        </w:tc>
        <w:tc>
          <w:tcPr>
            <w:tcW w:w="1530" w:type="dxa"/>
            <w:tcBorders>
              <w:top w:val="nil"/>
              <w:left w:val="nil"/>
              <w:bottom w:val="single" w:sz="4" w:space="0" w:color="auto"/>
              <w:right w:val="single" w:sz="4" w:space="0" w:color="auto"/>
            </w:tcBorders>
            <w:shd w:val="clear" w:color="auto" w:fill="auto"/>
            <w:vAlign w:val="center"/>
            <w:hideMark/>
          </w:tcPr>
          <w:p w14:paraId="445153E0" w14:textId="77777777" w:rsidR="003A5945" w:rsidRPr="00824BC0" w:rsidRDefault="003A5945" w:rsidP="003A5945">
            <w:pPr>
              <w:spacing w:after="0" w:line="240" w:lineRule="auto"/>
              <w:jc w:val="center"/>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w:t>
            </w:r>
          </w:p>
        </w:tc>
        <w:tc>
          <w:tcPr>
            <w:tcW w:w="1440" w:type="dxa"/>
            <w:tcBorders>
              <w:top w:val="nil"/>
              <w:left w:val="nil"/>
              <w:bottom w:val="single" w:sz="4" w:space="0" w:color="auto"/>
              <w:right w:val="single" w:sz="4" w:space="0" w:color="auto"/>
            </w:tcBorders>
            <w:shd w:val="clear" w:color="auto" w:fill="auto"/>
            <w:vAlign w:val="center"/>
            <w:hideMark/>
          </w:tcPr>
          <w:p w14:paraId="7F0B9702" w14:textId="77777777" w:rsidR="003A5945" w:rsidRPr="00824BC0" w:rsidRDefault="003A5945" w:rsidP="003A5945">
            <w:pPr>
              <w:spacing w:after="0" w:line="240" w:lineRule="auto"/>
              <w:jc w:val="center"/>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w:t>
            </w:r>
          </w:p>
        </w:tc>
        <w:tc>
          <w:tcPr>
            <w:tcW w:w="1530" w:type="dxa"/>
            <w:tcBorders>
              <w:top w:val="nil"/>
              <w:left w:val="nil"/>
              <w:bottom w:val="single" w:sz="4" w:space="0" w:color="auto"/>
              <w:right w:val="single" w:sz="4" w:space="0" w:color="auto"/>
            </w:tcBorders>
            <w:shd w:val="clear" w:color="auto" w:fill="auto"/>
            <w:vAlign w:val="center"/>
            <w:hideMark/>
          </w:tcPr>
          <w:p w14:paraId="7AAD115F" w14:textId="77777777" w:rsidR="003A5945" w:rsidRPr="00824BC0" w:rsidRDefault="003A5945" w:rsidP="003A5945">
            <w:pPr>
              <w:spacing w:after="0" w:line="240" w:lineRule="auto"/>
              <w:jc w:val="center"/>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w:t>
            </w:r>
          </w:p>
        </w:tc>
        <w:tc>
          <w:tcPr>
            <w:tcW w:w="1440" w:type="dxa"/>
            <w:tcBorders>
              <w:top w:val="nil"/>
              <w:left w:val="nil"/>
              <w:bottom w:val="single" w:sz="4" w:space="0" w:color="auto"/>
              <w:right w:val="single" w:sz="4" w:space="0" w:color="auto"/>
            </w:tcBorders>
            <w:shd w:val="clear" w:color="auto" w:fill="auto"/>
            <w:vAlign w:val="center"/>
            <w:hideMark/>
          </w:tcPr>
          <w:p w14:paraId="5C806E35" w14:textId="77777777" w:rsidR="003A5945" w:rsidRPr="00824BC0" w:rsidRDefault="003A5945" w:rsidP="003A5945">
            <w:pPr>
              <w:spacing w:after="0" w:line="240" w:lineRule="auto"/>
              <w:jc w:val="center"/>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w:t>
            </w:r>
          </w:p>
        </w:tc>
        <w:tc>
          <w:tcPr>
            <w:tcW w:w="1620" w:type="dxa"/>
            <w:tcBorders>
              <w:top w:val="nil"/>
              <w:left w:val="nil"/>
              <w:bottom w:val="single" w:sz="4" w:space="0" w:color="auto"/>
              <w:right w:val="single" w:sz="4" w:space="0" w:color="auto"/>
            </w:tcBorders>
            <w:shd w:val="clear" w:color="auto" w:fill="auto"/>
            <w:vAlign w:val="center"/>
            <w:hideMark/>
          </w:tcPr>
          <w:p w14:paraId="4610DB78" w14:textId="77777777" w:rsidR="003A5945" w:rsidRPr="00824BC0" w:rsidRDefault="003A5945" w:rsidP="003A5945">
            <w:pPr>
              <w:spacing w:after="0" w:line="240" w:lineRule="auto"/>
              <w:jc w:val="center"/>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w:t>
            </w:r>
          </w:p>
        </w:tc>
      </w:tr>
      <w:tr w:rsidR="003A5945" w:rsidRPr="00824BC0" w14:paraId="2A974D3A" w14:textId="77777777" w:rsidTr="00113EBF">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61447A3B" w14:textId="388CBD9D" w:rsidR="003A5945" w:rsidRPr="00824BC0" w:rsidRDefault="003A5945" w:rsidP="003A5945">
            <w:pPr>
              <w:spacing w:after="0" w:line="240" w:lineRule="auto"/>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January </w:t>
            </w:r>
          </w:p>
        </w:tc>
        <w:tc>
          <w:tcPr>
            <w:tcW w:w="1530" w:type="dxa"/>
            <w:tcBorders>
              <w:top w:val="nil"/>
              <w:left w:val="nil"/>
              <w:bottom w:val="single" w:sz="4" w:space="0" w:color="auto"/>
              <w:right w:val="single" w:sz="4" w:space="0" w:color="auto"/>
            </w:tcBorders>
            <w:shd w:val="clear" w:color="auto" w:fill="auto"/>
            <w:noWrap/>
            <w:vAlign w:val="bottom"/>
            <w:hideMark/>
          </w:tcPr>
          <w:p w14:paraId="1B120872" w14:textId="2D6A435D" w:rsidR="003A5945" w:rsidRPr="00824BC0" w:rsidRDefault="00113EBF"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  </w:t>
            </w:r>
            <w:r w:rsidR="003A5945" w:rsidRPr="00824BC0">
              <w:rPr>
                <w:rFonts w:ascii="Times New Roman" w:eastAsia="Times New Roman" w:hAnsi="Times New Roman" w:cs="Times New Roman"/>
                <w:color w:val="000000"/>
                <w:lang w:eastAsia="en-PH"/>
              </w:rPr>
              <w:t xml:space="preserve">410,949.08 </w:t>
            </w:r>
          </w:p>
        </w:tc>
        <w:tc>
          <w:tcPr>
            <w:tcW w:w="1440" w:type="dxa"/>
            <w:tcBorders>
              <w:top w:val="nil"/>
              <w:left w:val="nil"/>
              <w:bottom w:val="single" w:sz="4" w:space="0" w:color="auto"/>
              <w:right w:val="single" w:sz="4" w:space="0" w:color="auto"/>
            </w:tcBorders>
            <w:shd w:val="clear" w:color="auto" w:fill="auto"/>
            <w:noWrap/>
            <w:vAlign w:val="bottom"/>
            <w:hideMark/>
          </w:tcPr>
          <w:p w14:paraId="1DDABD2E" w14:textId="4755D4C4" w:rsidR="003A5945" w:rsidRPr="00824BC0" w:rsidRDefault="00113EBF"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  </w:t>
            </w:r>
            <w:r w:rsidR="003A5945" w:rsidRPr="00824BC0">
              <w:rPr>
                <w:rFonts w:ascii="Times New Roman" w:eastAsia="Times New Roman" w:hAnsi="Times New Roman" w:cs="Times New Roman"/>
                <w:color w:val="000000"/>
                <w:lang w:eastAsia="en-PH"/>
              </w:rPr>
              <w:t xml:space="preserve">58,818.08 </w:t>
            </w:r>
          </w:p>
        </w:tc>
        <w:tc>
          <w:tcPr>
            <w:tcW w:w="1530" w:type="dxa"/>
            <w:tcBorders>
              <w:top w:val="nil"/>
              <w:left w:val="nil"/>
              <w:bottom w:val="single" w:sz="4" w:space="0" w:color="auto"/>
              <w:right w:val="single" w:sz="4" w:space="0" w:color="auto"/>
            </w:tcBorders>
            <w:shd w:val="clear" w:color="auto" w:fill="auto"/>
            <w:noWrap/>
            <w:vAlign w:val="bottom"/>
            <w:hideMark/>
          </w:tcPr>
          <w:p w14:paraId="6B98574A" w14:textId="6D64D97A"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 </w:t>
            </w:r>
            <w:r w:rsidR="00113EBF" w:rsidRPr="00824BC0">
              <w:rPr>
                <w:rFonts w:ascii="Times New Roman" w:eastAsia="Times New Roman" w:hAnsi="Times New Roman" w:cs="Times New Roman"/>
                <w:color w:val="000000"/>
                <w:lang w:eastAsia="en-PH"/>
              </w:rPr>
              <w:t xml:space="preserve">₱  </w:t>
            </w:r>
            <w:r w:rsidRPr="00824BC0">
              <w:rPr>
                <w:rFonts w:ascii="Times New Roman" w:eastAsia="Times New Roman" w:hAnsi="Times New Roman" w:cs="Times New Roman"/>
                <w:color w:val="000000"/>
                <w:lang w:eastAsia="en-PH"/>
              </w:rPr>
              <w:t xml:space="preserve">469,767.16 </w:t>
            </w:r>
          </w:p>
        </w:tc>
        <w:tc>
          <w:tcPr>
            <w:tcW w:w="1440" w:type="dxa"/>
            <w:tcBorders>
              <w:top w:val="nil"/>
              <w:left w:val="nil"/>
              <w:bottom w:val="single" w:sz="4" w:space="0" w:color="auto"/>
              <w:right w:val="single" w:sz="4" w:space="0" w:color="auto"/>
            </w:tcBorders>
            <w:shd w:val="clear" w:color="auto" w:fill="auto"/>
            <w:noWrap/>
            <w:vAlign w:val="bottom"/>
            <w:hideMark/>
          </w:tcPr>
          <w:p w14:paraId="4E5999F5" w14:textId="1140CFEC"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 </w:t>
            </w:r>
            <w:r w:rsidR="00113EBF" w:rsidRPr="00824BC0">
              <w:rPr>
                <w:rFonts w:ascii="Times New Roman" w:eastAsia="Times New Roman" w:hAnsi="Times New Roman" w:cs="Times New Roman"/>
                <w:color w:val="000000"/>
                <w:lang w:eastAsia="en-PH"/>
              </w:rPr>
              <w:t xml:space="preserve">₱ </w:t>
            </w:r>
            <w:r w:rsidRPr="00824BC0">
              <w:rPr>
                <w:rFonts w:ascii="Times New Roman" w:eastAsia="Times New Roman" w:hAnsi="Times New Roman" w:cs="Times New Roman"/>
                <w:color w:val="000000"/>
                <w:lang w:eastAsia="en-PH"/>
              </w:rPr>
              <w:t xml:space="preserve">410,949.08 </w:t>
            </w:r>
          </w:p>
        </w:tc>
        <w:tc>
          <w:tcPr>
            <w:tcW w:w="1620" w:type="dxa"/>
            <w:tcBorders>
              <w:top w:val="nil"/>
              <w:left w:val="nil"/>
              <w:bottom w:val="single" w:sz="4" w:space="0" w:color="auto"/>
              <w:right w:val="single" w:sz="4" w:space="0" w:color="auto"/>
            </w:tcBorders>
            <w:shd w:val="clear" w:color="auto" w:fill="auto"/>
            <w:noWrap/>
            <w:vAlign w:val="bottom"/>
            <w:hideMark/>
          </w:tcPr>
          <w:p w14:paraId="5E743161" w14:textId="7F67F3A8" w:rsidR="003A5945" w:rsidRPr="00824BC0" w:rsidRDefault="00113EBF"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   </w:t>
            </w:r>
            <w:r w:rsidR="003A5945" w:rsidRPr="00824BC0">
              <w:rPr>
                <w:rFonts w:ascii="Times New Roman" w:eastAsia="Times New Roman" w:hAnsi="Times New Roman" w:cs="Times New Roman"/>
                <w:color w:val="000000"/>
                <w:lang w:eastAsia="en-PH"/>
              </w:rPr>
              <w:t xml:space="preserve">58,818.08 </w:t>
            </w:r>
          </w:p>
        </w:tc>
      </w:tr>
      <w:tr w:rsidR="003A5945" w:rsidRPr="00824BC0" w14:paraId="4CFF0E22" w14:textId="77777777" w:rsidTr="00113EBF">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097A6EA2" w14:textId="51FB80E5" w:rsidR="003A5945" w:rsidRPr="00824BC0" w:rsidRDefault="003A5945" w:rsidP="003A5945">
            <w:pPr>
              <w:spacing w:after="0" w:line="240" w:lineRule="auto"/>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February </w:t>
            </w:r>
          </w:p>
        </w:tc>
        <w:tc>
          <w:tcPr>
            <w:tcW w:w="1530" w:type="dxa"/>
            <w:tcBorders>
              <w:top w:val="nil"/>
              <w:left w:val="nil"/>
              <w:bottom w:val="single" w:sz="4" w:space="0" w:color="auto"/>
              <w:right w:val="single" w:sz="4" w:space="0" w:color="auto"/>
            </w:tcBorders>
            <w:shd w:val="clear" w:color="auto" w:fill="auto"/>
            <w:noWrap/>
            <w:vAlign w:val="bottom"/>
            <w:hideMark/>
          </w:tcPr>
          <w:p w14:paraId="38F2F80C" w14:textId="0A530382"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58,818.08 </w:t>
            </w:r>
          </w:p>
        </w:tc>
        <w:tc>
          <w:tcPr>
            <w:tcW w:w="1440" w:type="dxa"/>
            <w:tcBorders>
              <w:top w:val="nil"/>
              <w:left w:val="nil"/>
              <w:bottom w:val="single" w:sz="4" w:space="0" w:color="auto"/>
              <w:right w:val="single" w:sz="4" w:space="0" w:color="auto"/>
            </w:tcBorders>
            <w:shd w:val="clear" w:color="auto" w:fill="auto"/>
            <w:noWrap/>
            <w:vAlign w:val="bottom"/>
            <w:hideMark/>
          </w:tcPr>
          <w:p w14:paraId="5C22AADE" w14:textId="2DBA530A"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29,029.59 </w:t>
            </w:r>
          </w:p>
        </w:tc>
        <w:tc>
          <w:tcPr>
            <w:tcW w:w="1530" w:type="dxa"/>
            <w:tcBorders>
              <w:top w:val="nil"/>
              <w:left w:val="nil"/>
              <w:bottom w:val="single" w:sz="4" w:space="0" w:color="auto"/>
              <w:right w:val="single" w:sz="4" w:space="0" w:color="auto"/>
            </w:tcBorders>
            <w:shd w:val="clear" w:color="auto" w:fill="auto"/>
            <w:noWrap/>
            <w:vAlign w:val="bottom"/>
            <w:hideMark/>
          </w:tcPr>
          <w:p w14:paraId="3901DD91" w14:textId="6010850A"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87,847.67 </w:t>
            </w:r>
          </w:p>
        </w:tc>
        <w:tc>
          <w:tcPr>
            <w:tcW w:w="1440" w:type="dxa"/>
            <w:tcBorders>
              <w:top w:val="nil"/>
              <w:left w:val="nil"/>
              <w:bottom w:val="single" w:sz="4" w:space="0" w:color="auto"/>
              <w:right w:val="single" w:sz="4" w:space="0" w:color="auto"/>
            </w:tcBorders>
            <w:shd w:val="clear" w:color="auto" w:fill="auto"/>
            <w:noWrap/>
            <w:vAlign w:val="bottom"/>
            <w:hideMark/>
          </w:tcPr>
          <w:p w14:paraId="179DD221" w14:textId="74CCCBBD"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58,818.08 </w:t>
            </w:r>
          </w:p>
        </w:tc>
        <w:tc>
          <w:tcPr>
            <w:tcW w:w="1620" w:type="dxa"/>
            <w:tcBorders>
              <w:top w:val="nil"/>
              <w:left w:val="nil"/>
              <w:bottom w:val="single" w:sz="4" w:space="0" w:color="auto"/>
              <w:right w:val="single" w:sz="4" w:space="0" w:color="auto"/>
            </w:tcBorders>
            <w:shd w:val="clear" w:color="auto" w:fill="auto"/>
            <w:noWrap/>
            <w:vAlign w:val="bottom"/>
            <w:hideMark/>
          </w:tcPr>
          <w:p w14:paraId="1C92F649" w14:textId="6FB0FC35"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29,029.59 </w:t>
            </w:r>
          </w:p>
        </w:tc>
      </w:tr>
      <w:tr w:rsidR="003A5945" w:rsidRPr="00824BC0" w14:paraId="39882D1B" w14:textId="77777777" w:rsidTr="00113EBF">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6FCE105B" w14:textId="73C8627B" w:rsidR="003A5945" w:rsidRPr="00824BC0" w:rsidRDefault="003A5945" w:rsidP="003A5945">
            <w:pPr>
              <w:spacing w:after="0" w:line="240" w:lineRule="auto"/>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March </w:t>
            </w:r>
          </w:p>
        </w:tc>
        <w:tc>
          <w:tcPr>
            <w:tcW w:w="1530" w:type="dxa"/>
            <w:tcBorders>
              <w:top w:val="nil"/>
              <w:left w:val="nil"/>
              <w:bottom w:val="single" w:sz="4" w:space="0" w:color="auto"/>
              <w:right w:val="single" w:sz="4" w:space="0" w:color="auto"/>
            </w:tcBorders>
            <w:shd w:val="clear" w:color="auto" w:fill="auto"/>
            <w:noWrap/>
            <w:vAlign w:val="bottom"/>
            <w:hideMark/>
          </w:tcPr>
          <w:p w14:paraId="4F566360" w14:textId="6976F1CE"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29,029.59 </w:t>
            </w:r>
          </w:p>
        </w:tc>
        <w:tc>
          <w:tcPr>
            <w:tcW w:w="1440" w:type="dxa"/>
            <w:tcBorders>
              <w:top w:val="nil"/>
              <w:left w:val="nil"/>
              <w:bottom w:val="single" w:sz="4" w:space="0" w:color="auto"/>
              <w:right w:val="single" w:sz="4" w:space="0" w:color="auto"/>
            </w:tcBorders>
            <w:shd w:val="clear" w:color="auto" w:fill="auto"/>
            <w:noWrap/>
            <w:vAlign w:val="bottom"/>
            <w:hideMark/>
          </w:tcPr>
          <w:p w14:paraId="402F3E81" w14:textId="1327660C"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76,258.15 </w:t>
            </w:r>
          </w:p>
        </w:tc>
        <w:tc>
          <w:tcPr>
            <w:tcW w:w="1530" w:type="dxa"/>
            <w:tcBorders>
              <w:top w:val="nil"/>
              <w:left w:val="nil"/>
              <w:bottom w:val="single" w:sz="4" w:space="0" w:color="auto"/>
              <w:right w:val="single" w:sz="4" w:space="0" w:color="auto"/>
            </w:tcBorders>
            <w:shd w:val="clear" w:color="auto" w:fill="auto"/>
            <w:noWrap/>
            <w:vAlign w:val="bottom"/>
            <w:hideMark/>
          </w:tcPr>
          <w:p w14:paraId="6F7DB287" w14:textId="698297A6"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105,287.74 </w:t>
            </w:r>
          </w:p>
        </w:tc>
        <w:tc>
          <w:tcPr>
            <w:tcW w:w="1440" w:type="dxa"/>
            <w:tcBorders>
              <w:top w:val="nil"/>
              <w:left w:val="nil"/>
              <w:bottom w:val="single" w:sz="4" w:space="0" w:color="auto"/>
              <w:right w:val="single" w:sz="4" w:space="0" w:color="auto"/>
            </w:tcBorders>
            <w:shd w:val="clear" w:color="auto" w:fill="auto"/>
            <w:noWrap/>
            <w:vAlign w:val="bottom"/>
            <w:hideMark/>
          </w:tcPr>
          <w:p w14:paraId="4436D2D0" w14:textId="5200AB79"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29,029.59 </w:t>
            </w:r>
          </w:p>
        </w:tc>
        <w:tc>
          <w:tcPr>
            <w:tcW w:w="1620" w:type="dxa"/>
            <w:tcBorders>
              <w:top w:val="nil"/>
              <w:left w:val="nil"/>
              <w:bottom w:val="single" w:sz="4" w:space="0" w:color="auto"/>
              <w:right w:val="single" w:sz="4" w:space="0" w:color="auto"/>
            </w:tcBorders>
            <w:shd w:val="clear" w:color="auto" w:fill="auto"/>
            <w:noWrap/>
            <w:vAlign w:val="bottom"/>
            <w:hideMark/>
          </w:tcPr>
          <w:p w14:paraId="06425374" w14:textId="7EBF1792"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76,258.15 </w:t>
            </w:r>
          </w:p>
        </w:tc>
      </w:tr>
      <w:tr w:rsidR="003A5945" w:rsidRPr="00824BC0" w14:paraId="08251570" w14:textId="77777777" w:rsidTr="00113EBF">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383745D7" w14:textId="352D88BD" w:rsidR="003A5945" w:rsidRPr="00824BC0" w:rsidRDefault="00113EBF" w:rsidP="003A5945">
            <w:pPr>
              <w:spacing w:after="0" w:line="240" w:lineRule="auto"/>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A</w:t>
            </w:r>
            <w:r w:rsidR="003A5945" w:rsidRPr="00824BC0">
              <w:rPr>
                <w:rFonts w:ascii="Times New Roman" w:eastAsia="Times New Roman" w:hAnsi="Times New Roman" w:cs="Times New Roman"/>
                <w:color w:val="000000"/>
                <w:lang w:eastAsia="en-PH"/>
              </w:rPr>
              <w:t xml:space="preserve">pril </w:t>
            </w:r>
          </w:p>
        </w:tc>
        <w:tc>
          <w:tcPr>
            <w:tcW w:w="1530" w:type="dxa"/>
            <w:tcBorders>
              <w:top w:val="nil"/>
              <w:left w:val="nil"/>
              <w:bottom w:val="single" w:sz="4" w:space="0" w:color="auto"/>
              <w:right w:val="single" w:sz="4" w:space="0" w:color="auto"/>
            </w:tcBorders>
            <w:shd w:val="clear" w:color="auto" w:fill="auto"/>
            <w:noWrap/>
            <w:vAlign w:val="bottom"/>
            <w:hideMark/>
          </w:tcPr>
          <w:p w14:paraId="3B7F2B90" w14:textId="2EE38045"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76,258.15 </w:t>
            </w:r>
          </w:p>
        </w:tc>
        <w:tc>
          <w:tcPr>
            <w:tcW w:w="1440" w:type="dxa"/>
            <w:tcBorders>
              <w:top w:val="nil"/>
              <w:left w:val="nil"/>
              <w:bottom w:val="single" w:sz="4" w:space="0" w:color="auto"/>
              <w:right w:val="single" w:sz="4" w:space="0" w:color="auto"/>
            </w:tcBorders>
            <w:shd w:val="clear" w:color="auto" w:fill="auto"/>
            <w:noWrap/>
            <w:vAlign w:val="bottom"/>
            <w:hideMark/>
          </w:tcPr>
          <w:p w14:paraId="18B700B7" w14:textId="68BCA716"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125,372.82 </w:t>
            </w:r>
          </w:p>
        </w:tc>
        <w:tc>
          <w:tcPr>
            <w:tcW w:w="1530" w:type="dxa"/>
            <w:tcBorders>
              <w:top w:val="nil"/>
              <w:left w:val="nil"/>
              <w:bottom w:val="single" w:sz="4" w:space="0" w:color="auto"/>
              <w:right w:val="single" w:sz="4" w:space="0" w:color="auto"/>
            </w:tcBorders>
            <w:shd w:val="clear" w:color="auto" w:fill="auto"/>
            <w:noWrap/>
            <w:vAlign w:val="bottom"/>
            <w:hideMark/>
          </w:tcPr>
          <w:p w14:paraId="3FA3384F" w14:textId="2862F6E6"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201,630.97 </w:t>
            </w:r>
          </w:p>
        </w:tc>
        <w:tc>
          <w:tcPr>
            <w:tcW w:w="1440" w:type="dxa"/>
            <w:tcBorders>
              <w:top w:val="nil"/>
              <w:left w:val="nil"/>
              <w:bottom w:val="single" w:sz="4" w:space="0" w:color="auto"/>
              <w:right w:val="single" w:sz="4" w:space="0" w:color="auto"/>
            </w:tcBorders>
            <w:shd w:val="clear" w:color="auto" w:fill="auto"/>
            <w:noWrap/>
            <w:vAlign w:val="bottom"/>
            <w:hideMark/>
          </w:tcPr>
          <w:p w14:paraId="73B401A4" w14:textId="77A68B5A"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76,258.15 </w:t>
            </w:r>
          </w:p>
        </w:tc>
        <w:tc>
          <w:tcPr>
            <w:tcW w:w="1620" w:type="dxa"/>
            <w:tcBorders>
              <w:top w:val="nil"/>
              <w:left w:val="nil"/>
              <w:bottom w:val="single" w:sz="4" w:space="0" w:color="auto"/>
              <w:right w:val="single" w:sz="4" w:space="0" w:color="auto"/>
            </w:tcBorders>
            <w:shd w:val="clear" w:color="auto" w:fill="auto"/>
            <w:noWrap/>
            <w:vAlign w:val="bottom"/>
            <w:hideMark/>
          </w:tcPr>
          <w:p w14:paraId="5BAFF3B4" w14:textId="4B3CE592"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125,372.82 </w:t>
            </w:r>
          </w:p>
        </w:tc>
      </w:tr>
      <w:tr w:rsidR="003A5945" w:rsidRPr="00824BC0" w14:paraId="44AE0DE9" w14:textId="77777777" w:rsidTr="00113EBF">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11B42363" w14:textId="7A3FDED6" w:rsidR="003A5945" w:rsidRPr="00824BC0" w:rsidRDefault="003A5945" w:rsidP="003A5945">
            <w:pPr>
              <w:spacing w:after="0" w:line="240" w:lineRule="auto"/>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May </w:t>
            </w:r>
          </w:p>
        </w:tc>
        <w:tc>
          <w:tcPr>
            <w:tcW w:w="1530" w:type="dxa"/>
            <w:tcBorders>
              <w:top w:val="nil"/>
              <w:left w:val="nil"/>
              <w:bottom w:val="single" w:sz="4" w:space="0" w:color="auto"/>
              <w:right w:val="single" w:sz="4" w:space="0" w:color="auto"/>
            </w:tcBorders>
            <w:shd w:val="clear" w:color="auto" w:fill="auto"/>
            <w:noWrap/>
            <w:vAlign w:val="bottom"/>
            <w:hideMark/>
          </w:tcPr>
          <w:p w14:paraId="46BE3B32" w14:textId="7F54BEE9"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125,372.82 </w:t>
            </w:r>
          </w:p>
        </w:tc>
        <w:tc>
          <w:tcPr>
            <w:tcW w:w="1440" w:type="dxa"/>
            <w:tcBorders>
              <w:top w:val="nil"/>
              <w:left w:val="nil"/>
              <w:bottom w:val="single" w:sz="4" w:space="0" w:color="auto"/>
              <w:right w:val="single" w:sz="4" w:space="0" w:color="auto"/>
            </w:tcBorders>
            <w:shd w:val="clear" w:color="auto" w:fill="auto"/>
            <w:noWrap/>
            <w:vAlign w:val="bottom"/>
            <w:hideMark/>
          </w:tcPr>
          <w:p w14:paraId="0AF1C9C7" w14:textId="712CE48E"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75,618.01 </w:t>
            </w:r>
          </w:p>
        </w:tc>
        <w:tc>
          <w:tcPr>
            <w:tcW w:w="1530" w:type="dxa"/>
            <w:tcBorders>
              <w:top w:val="nil"/>
              <w:left w:val="nil"/>
              <w:bottom w:val="single" w:sz="4" w:space="0" w:color="auto"/>
              <w:right w:val="single" w:sz="4" w:space="0" w:color="auto"/>
            </w:tcBorders>
            <w:shd w:val="clear" w:color="auto" w:fill="auto"/>
            <w:noWrap/>
            <w:vAlign w:val="bottom"/>
            <w:hideMark/>
          </w:tcPr>
          <w:p w14:paraId="78D69E3F" w14:textId="62491BC9"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200,990.83 </w:t>
            </w:r>
          </w:p>
        </w:tc>
        <w:tc>
          <w:tcPr>
            <w:tcW w:w="1440" w:type="dxa"/>
            <w:tcBorders>
              <w:top w:val="nil"/>
              <w:left w:val="nil"/>
              <w:bottom w:val="single" w:sz="4" w:space="0" w:color="auto"/>
              <w:right w:val="single" w:sz="4" w:space="0" w:color="auto"/>
            </w:tcBorders>
            <w:shd w:val="clear" w:color="auto" w:fill="auto"/>
            <w:noWrap/>
            <w:vAlign w:val="bottom"/>
            <w:hideMark/>
          </w:tcPr>
          <w:p w14:paraId="5C81D79D" w14:textId="29BBE622"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125,372.82 </w:t>
            </w:r>
          </w:p>
        </w:tc>
        <w:tc>
          <w:tcPr>
            <w:tcW w:w="1620" w:type="dxa"/>
            <w:tcBorders>
              <w:top w:val="nil"/>
              <w:left w:val="nil"/>
              <w:bottom w:val="single" w:sz="4" w:space="0" w:color="auto"/>
              <w:right w:val="single" w:sz="4" w:space="0" w:color="auto"/>
            </w:tcBorders>
            <w:shd w:val="clear" w:color="auto" w:fill="auto"/>
            <w:noWrap/>
            <w:vAlign w:val="bottom"/>
            <w:hideMark/>
          </w:tcPr>
          <w:p w14:paraId="7C397E45" w14:textId="28786059"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75,618.01 </w:t>
            </w:r>
          </w:p>
        </w:tc>
      </w:tr>
      <w:tr w:rsidR="003A5945" w:rsidRPr="00824BC0" w14:paraId="415CE624" w14:textId="77777777" w:rsidTr="00113EBF">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64586C66" w14:textId="2D150070" w:rsidR="003A5945" w:rsidRPr="00824BC0" w:rsidRDefault="003A5945" w:rsidP="003A5945">
            <w:pPr>
              <w:spacing w:after="0" w:line="240" w:lineRule="auto"/>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June </w:t>
            </w:r>
          </w:p>
        </w:tc>
        <w:tc>
          <w:tcPr>
            <w:tcW w:w="1530" w:type="dxa"/>
            <w:tcBorders>
              <w:top w:val="nil"/>
              <w:left w:val="nil"/>
              <w:bottom w:val="single" w:sz="4" w:space="0" w:color="auto"/>
              <w:right w:val="single" w:sz="4" w:space="0" w:color="auto"/>
            </w:tcBorders>
            <w:shd w:val="clear" w:color="auto" w:fill="auto"/>
            <w:noWrap/>
            <w:vAlign w:val="bottom"/>
            <w:hideMark/>
          </w:tcPr>
          <w:p w14:paraId="2F436D35" w14:textId="19BE94D1"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75,618.01 </w:t>
            </w:r>
          </w:p>
        </w:tc>
        <w:tc>
          <w:tcPr>
            <w:tcW w:w="1440" w:type="dxa"/>
            <w:tcBorders>
              <w:top w:val="nil"/>
              <w:left w:val="nil"/>
              <w:bottom w:val="single" w:sz="4" w:space="0" w:color="auto"/>
              <w:right w:val="single" w:sz="4" w:space="0" w:color="auto"/>
            </w:tcBorders>
            <w:shd w:val="clear" w:color="auto" w:fill="auto"/>
            <w:noWrap/>
            <w:vAlign w:val="bottom"/>
            <w:hideMark/>
          </w:tcPr>
          <w:p w14:paraId="48C15029" w14:textId="3F5FDE62"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122,741.08 </w:t>
            </w:r>
          </w:p>
        </w:tc>
        <w:tc>
          <w:tcPr>
            <w:tcW w:w="1530" w:type="dxa"/>
            <w:tcBorders>
              <w:top w:val="nil"/>
              <w:left w:val="nil"/>
              <w:bottom w:val="single" w:sz="4" w:space="0" w:color="auto"/>
              <w:right w:val="single" w:sz="4" w:space="0" w:color="auto"/>
            </w:tcBorders>
            <w:shd w:val="clear" w:color="auto" w:fill="auto"/>
            <w:noWrap/>
            <w:vAlign w:val="bottom"/>
            <w:hideMark/>
          </w:tcPr>
          <w:p w14:paraId="3B2D20CB" w14:textId="5BE321E1"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198,359.09 </w:t>
            </w:r>
          </w:p>
        </w:tc>
        <w:tc>
          <w:tcPr>
            <w:tcW w:w="1440" w:type="dxa"/>
            <w:tcBorders>
              <w:top w:val="nil"/>
              <w:left w:val="nil"/>
              <w:bottom w:val="single" w:sz="4" w:space="0" w:color="auto"/>
              <w:right w:val="single" w:sz="4" w:space="0" w:color="auto"/>
            </w:tcBorders>
            <w:shd w:val="clear" w:color="auto" w:fill="auto"/>
            <w:noWrap/>
            <w:vAlign w:val="bottom"/>
            <w:hideMark/>
          </w:tcPr>
          <w:p w14:paraId="4D4FD4CD" w14:textId="33978B22"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75,618.01 </w:t>
            </w:r>
          </w:p>
        </w:tc>
        <w:tc>
          <w:tcPr>
            <w:tcW w:w="1620" w:type="dxa"/>
            <w:tcBorders>
              <w:top w:val="nil"/>
              <w:left w:val="nil"/>
              <w:bottom w:val="single" w:sz="4" w:space="0" w:color="auto"/>
              <w:right w:val="single" w:sz="4" w:space="0" w:color="auto"/>
            </w:tcBorders>
            <w:shd w:val="clear" w:color="auto" w:fill="auto"/>
            <w:noWrap/>
            <w:vAlign w:val="bottom"/>
            <w:hideMark/>
          </w:tcPr>
          <w:p w14:paraId="0AA39A23" w14:textId="57C15B63"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122,741.08 </w:t>
            </w:r>
          </w:p>
        </w:tc>
      </w:tr>
      <w:tr w:rsidR="003A5945" w:rsidRPr="00824BC0" w14:paraId="72119480" w14:textId="77777777" w:rsidTr="00113EBF">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23F5BA1D" w14:textId="2FDBBC1C" w:rsidR="003A5945" w:rsidRPr="00824BC0" w:rsidRDefault="003A5945" w:rsidP="003A5945">
            <w:pPr>
              <w:spacing w:after="0" w:line="240" w:lineRule="auto"/>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July </w:t>
            </w:r>
          </w:p>
        </w:tc>
        <w:tc>
          <w:tcPr>
            <w:tcW w:w="1530" w:type="dxa"/>
            <w:tcBorders>
              <w:top w:val="nil"/>
              <w:left w:val="nil"/>
              <w:bottom w:val="single" w:sz="4" w:space="0" w:color="auto"/>
              <w:right w:val="single" w:sz="4" w:space="0" w:color="auto"/>
            </w:tcBorders>
            <w:shd w:val="clear" w:color="auto" w:fill="auto"/>
            <w:noWrap/>
            <w:vAlign w:val="bottom"/>
            <w:hideMark/>
          </w:tcPr>
          <w:p w14:paraId="24F1A581" w14:textId="1BCC3B2B"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122,741.08 </w:t>
            </w:r>
          </w:p>
        </w:tc>
        <w:tc>
          <w:tcPr>
            <w:tcW w:w="1440" w:type="dxa"/>
            <w:tcBorders>
              <w:top w:val="nil"/>
              <w:left w:val="nil"/>
              <w:bottom w:val="single" w:sz="4" w:space="0" w:color="auto"/>
              <w:right w:val="single" w:sz="4" w:space="0" w:color="auto"/>
            </w:tcBorders>
            <w:shd w:val="clear" w:color="auto" w:fill="auto"/>
            <w:noWrap/>
            <w:vAlign w:val="bottom"/>
            <w:hideMark/>
          </w:tcPr>
          <w:p w14:paraId="65671DD4" w14:textId="05068E8E"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569,736.83 </w:t>
            </w:r>
          </w:p>
        </w:tc>
        <w:tc>
          <w:tcPr>
            <w:tcW w:w="1530" w:type="dxa"/>
            <w:tcBorders>
              <w:top w:val="nil"/>
              <w:left w:val="nil"/>
              <w:bottom w:val="single" w:sz="4" w:space="0" w:color="auto"/>
              <w:right w:val="single" w:sz="4" w:space="0" w:color="auto"/>
            </w:tcBorders>
            <w:shd w:val="clear" w:color="auto" w:fill="auto"/>
            <w:noWrap/>
            <w:vAlign w:val="bottom"/>
            <w:hideMark/>
          </w:tcPr>
          <w:p w14:paraId="3FF0314C" w14:textId="67979E52"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692,477.91 </w:t>
            </w:r>
          </w:p>
        </w:tc>
        <w:tc>
          <w:tcPr>
            <w:tcW w:w="1440" w:type="dxa"/>
            <w:tcBorders>
              <w:top w:val="nil"/>
              <w:left w:val="nil"/>
              <w:bottom w:val="single" w:sz="4" w:space="0" w:color="auto"/>
              <w:right w:val="single" w:sz="4" w:space="0" w:color="auto"/>
            </w:tcBorders>
            <w:shd w:val="clear" w:color="auto" w:fill="auto"/>
            <w:noWrap/>
            <w:vAlign w:val="bottom"/>
            <w:hideMark/>
          </w:tcPr>
          <w:p w14:paraId="7C9FFDEF" w14:textId="3EA1AD98"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122,741.08 </w:t>
            </w:r>
          </w:p>
        </w:tc>
        <w:tc>
          <w:tcPr>
            <w:tcW w:w="1620" w:type="dxa"/>
            <w:tcBorders>
              <w:top w:val="nil"/>
              <w:left w:val="nil"/>
              <w:bottom w:val="single" w:sz="4" w:space="0" w:color="auto"/>
              <w:right w:val="single" w:sz="4" w:space="0" w:color="auto"/>
            </w:tcBorders>
            <w:shd w:val="clear" w:color="auto" w:fill="auto"/>
            <w:noWrap/>
            <w:vAlign w:val="bottom"/>
            <w:hideMark/>
          </w:tcPr>
          <w:p w14:paraId="20DDA50D" w14:textId="5B8D7915"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569,736.83 </w:t>
            </w:r>
          </w:p>
        </w:tc>
      </w:tr>
      <w:tr w:rsidR="003A5945" w:rsidRPr="00824BC0" w14:paraId="6A22863E" w14:textId="77777777" w:rsidTr="00113EBF">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277AD5DB" w14:textId="5D6B04CD" w:rsidR="003A5945" w:rsidRPr="00824BC0" w:rsidRDefault="003A5945" w:rsidP="003A5945">
            <w:pPr>
              <w:spacing w:after="0" w:line="240" w:lineRule="auto"/>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August </w:t>
            </w:r>
          </w:p>
        </w:tc>
        <w:tc>
          <w:tcPr>
            <w:tcW w:w="1530" w:type="dxa"/>
            <w:tcBorders>
              <w:top w:val="nil"/>
              <w:left w:val="nil"/>
              <w:bottom w:val="single" w:sz="4" w:space="0" w:color="auto"/>
              <w:right w:val="single" w:sz="4" w:space="0" w:color="auto"/>
            </w:tcBorders>
            <w:shd w:val="clear" w:color="auto" w:fill="auto"/>
            <w:noWrap/>
            <w:vAlign w:val="bottom"/>
            <w:hideMark/>
          </w:tcPr>
          <w:p w14:paraId="2E6B0701" w14:textId="6DA41512"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569,736.83 </w:t>
            </w:r>
          </w:p>
        </w:tc>
        <w:tc>
          <w:tcPr>
            <w:tcW w:w="1440" w:type="dxa"/>
            <w:tcBorders>
              <w:top w:val="nil"/>
              <w:left w:val="nil"/>
              <w:bottom w:val="single" w:sz="4" w:space="0" w:color="auto"/>
              <w:right w:val="single" w:sz="4" w:space="0" w:color="auto"/>
            </w:tcBorders>
            <w:shd w:val="clear" w:color="auto" w:fill="auto"/>
            <w:noWrap/>
            <w:vAlign w:val="bottom"/>
            <w:hideMark/>
          </w:tcPr>
          <w:p w14:paraId="5AF88009" w14:textId="4AC94342"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25,044.31 </w:t>
            </w:r>
          </w:p>
        </w:tc>
        <w:tc>
          <w:tcPr>
            <w:tcW w:w="1530" w:type="dxa"/>
            <w:tcBorders>
              <w:top w:val="nil"/>
              <w:left w:val="nil"/>
              <w:bottom w:val="single" w:sz="4" w:space="0" w:color="auto"/>
              <w:right w:val="single" w:sz="4" w:space="0" w:color="auto"/>
            </w:tcBorders>
            <w:shd w:val="clear" w:color="auto" w:fill="auto"/>
            <w:noWrap/>
            <w:vAlign w:val="bottom"/>
            <w:hideMark/>
          </w:tcPr>
          <w:p w14:paraId="0A54CED6" w14:textId="26260E39"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594,781.14 </w:t>
            </w:r>
          </w:p>
        </w:tc>
        <w:tc>
          <w:tcPr>
            <w:tcW w:w="1440" w:type="dxa"/>
            <w:tcBorders>
              <w:top w:val="nil"/>
              <w:left w:val="nil"/>
              <w:bottom w:val="single" w:sz="4" w:space="0" w:color="auto"/>
              <w:right w:val="single" w:sz="4" w:space="0" w:color="auto"/>
            </w:tcBorders>
            <w:shd w:val="clear" w:color="auto" w:fill="auto"/>
            <w:noWrap/>
            <w:vAlign w:val="bottom"/>
            <w:hideMark/>
          </w:tcPr>
          <w:p w14:paraId="728F9AFE" w14:textId="1CFC72FB"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569,736.83 </w:t>
            </w:r>
          </w:p>
        </w:tc>
        <w:tc>
          <w:tcPr>
            <w:tcW w:w="1620" w:type="dxa"/>
            <w:tcBorders>
              <w:top w:val="nil"/>
              <w:left w:val="nil"/>
              <w:bottom w:val="single" w:sz="4" w:space="0" w:color="auto"/>
              <w:right w:val="single" w:sz="4" w:space="0" w:color="auto"/>
            </w:tcBorders>
            <w:shd w:val="clear" w:color="auto" w:fill="auto"/>
            <w:noWrap/>
            <w:vAlign w:val="bottom"/>
            <w:hideMark/>
          </w:tcPr>
          <w:p w14:paraId="0A39E568" w14:textId="1BD3CB98"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25,044.31 </w:t>
            </w:r>
          </w:p>
        </w:tc>
      </w:tr>
      <w:tr w:rsidR="003A5945" w:rsidRPr="00824BC0" w14:paraId="4F4AA684" w14:textId="77777777" w:rsidTr="00113EBF">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4984F2F5" w14:textId="273659D7" w:rsidR="003A5945" w:rsidRPr="00824BC0" w:rsidRDefault="003A5945" w:rsidP="003A5945">
            <w:pPr>
              <w:spacing w:after="0" w:line="240" w:lineRule="auto"/>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September </w:t>
            </w:r>
          </w:p>
        </w:tc>
        <w:tc>
          <w:tcPr>
            <w:tcW w:w="1530" w:type="dxa"/>
            <w:tcBorders>
              <w:top w:val="nil"/>
              <w:left w:val="nil"/>
              <w:bottom w:val="single" w:sz="4" w:space="0" w:color="auto"/>
              <w:right w:val="single" w:sz="4" w:space="0" w:color="auto"/>
            </w:tcBorders>
            <w:shd w:val="clear" w:color="auto" w:fill="auto"/>
            <w:noWrap/>
            <w:vAlign w:val="bottom"/>
            <w:hideMark/>
          </w:tcPr>
          <w:p w14:paraId="0C697334" w14:textId="6B215BDA"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25,044.31 </w:t>
            </w:r>
          </w:p>
        </w:tc>
        <w:tc>
          <w:tcPr>
            <w:tcW w:w="1440" w:type="dxa"/>
            <w:tcBorders>
              <w:top w:val="nil"/>
              <w:left w:val="nil"/>
              <w:bottom w:val="single" w:sz="4" w:space="0" w:color="auto"/>
              <w:right w:val="single" w:sz="4" w:space="0" w:color="auto"/>
            </w:tcBorders>
            <w:shd w:val="clear" w:color="auto" w:fill="auto"/>
            <w:noWrap/>
            <w:vAlign w:val="bottom"/>
            <w:hideMark/>
          </w:tcPr>
          <w:p w14:paraId="44754F55" w14:textId="79CDB6B9"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257,371.92 </w:t>
            </w:r>
          </w:p>
        </w:tc>
        <w:tc>
          <w:tcPr>
            <w:tcW w:w="1530" w:type="dxa"/>
            <w:tcBorders>
              <w:top w:val="nil"/>
              <w:left w:val="nil"/>
              <w:bottom w:val="single" w:sz="4" w:space="0" w:color="auto"/>
              <w:right w:val="single" w:sz="4" w:space="0" w:color="auto"/>
            </w:tcBorders>
            <w:shd w:val="clear" w:color="auto" w:fill="auto"/>
            <w:noWrap/>
            <w:vAlign w:val="bottom"/>
            <w:hideMark/>
          </w:tcPr>
          <w:p w14:paraId="6371479E" w14:textId="63E7D336"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282,416.23 </w:t>
            </w:r>
          </w:p>
        </w:tc>
        <w:tc>
          <w:tcPr>
            <w:tcW w:w="1440" w:type="dxa"/>
            <w:tcBorders>
              <w:top w:val="nil"/>
              <w:left w:val="nil"/>
              <w:bottom w:val="single" w:sz="4" w:space="0" w:color="auto"/>
              <w:right w:val="single" w:sz="4" w:space="0" w:color="auto"/>
            </w:tcBorders>
            <w:shd w:val="clear" w:color="auto" w:fill="auto"/>
            <w:noWrap/>
            <w:vAlign w:val="bottom"/>
            <w:hideMark/>
          </w:tcPr>
          <w:p w14:paraId="0BD56D24" w14:textId="4F9EB022"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25,044.31 </w:t>
            </w:r>
          </w:p>
        </w:tc>
        <w:tc>
          <w:tcPr>
            <w:tcW w:w="1620" w:type="dxa"/>
            <w:tcBorders>
              <w:top w:val="nil"/>
              <w:left w:val="nil"/>
              <w:bottom w:val="single" w:sz="4" w:space="0" w:color="auto"/>
              <w:right w:val="single" w:sz="4" w:space="0" w:color="auto"/>
            </w:tcBorders>
            <w:shd w:val="clear" w:color="auto" w:fill="auto"/>
            <w:noWrap/>
            <w:vAlign w:val="bottom"/>
            <w:hideMark/>
          </w:tcPr>
          <w:p w14:paraId="15C8B168" w14:textId="15D7E950"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257,371.92 </w:t>
            </w:r>
          </w:p>
        </w:tc>
      </w:tr>
      <w:tr w:rsidR="003A5945" w:rsidRPr="00824BC0" w14:paraId="3FF821DF" w14:textId="77777777" w:rsidTr="00113EBF">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7DE2F795" w14:textId="171E5731" w:rsidR="003A5945" w:rsidRPr="00824BC0" w:rsidRDefault="003A5945" w:rsidP="003A5945">
            <w:pPr>
              <w:spacing w:after="0" w:line="240" w:lineRule="auto"/>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October </w:t>
            </w:r>
          </w:p>
        </w:tc>
        <w:tc>
          <w:tcPr>
            <w:tcW w:w="1530" w:type="dxa"/>
            <w:tcBorders>
              <w:top w:val="nil"/>
              <w:left w:val="nil"/>
              <w:bottom w:val="single" w:sz="4" w:space="0" w:color="auto"/>
              <w:right w:val="single" w:sz="4" w:space="0" w:color="auto"/>
            </w:tcBorders>
            <w:shd w:val="clear" w:color="auto" w:fill="auto"/>
            <w:noWrap/>
            <w:vAlign w:val="bottom"/>
            <w:hideMark/>
          </w:tcPr>
          <w:p w14:paraId="074102F9" w14:textId="02039DF7"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257,371.92 </w:t>
            </w:r>
          </w:p>
        </w:tc>
        <w:tc>
          <w:tcPr>
            <w:tcW w:w="1440" w:type="dxa"/>
            <w:tcBorders>
              <w:top w:val="nil"/>
              <w:left w:val="nil"/>
              <w:bottom w:val="single" w:sz="4" w:space="0" w:color="auto"/>
              <w:right w:val="single" w:sz="4" w:space="0" w:color="auto"/>
            </w:tcBorders>
            <w:shd w:val="clear" w:color="auto" w:fill="auto"/>
            <w:noWrap/>
            <w:vAlign w:val="bottom"/>
            <w:hideMark/>
          </w:tcPr>
          <w:p w14:paraId="641BB70A" w14:textId="5FCFB1D2"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142,787.09 </w:t>
            </w:r>
          </w:p>
        </w:tc>
        <w:tc>
          <w:tcPr>
            <w:tcW w:w="1530" w:type="dxa"/>
            <w:tcBorders>
              <w:top w:val="nil"/>
              <w:left w:val="nil"/>
              <w:bottom w:val="single" w:sz="4" w:space="0" w:color="auto"/>
              <w:right w:val="single" w:sz="4" w:space="0" w:color="auto"/>
            </w:tcBorders>
            <w:shd w:val="clear" w:color="auto" w:fill="auto"/>
            <w:noWrap/>
            <w:vAlign w:val="bottom"/>
            <w:hideMark/>
          </w:tcPr>
          <w:p w14:paraId="1649D766" w14:textId="3DE59BC2"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400,159.01 </w:t>
            </w:r>
          </w:p>
        </w:tc>
        <w:tc>
          <w:tcPr>
            <w:tcW w:w="1440" w:type="dxa"/>
            <w:tcBorders>
              <w:top w:val="nil"/>
              <w:left w:val="nil"/>
              <w:bottom w:val="single" w:sz="4" w:space="0" w:color="auto"/>
              <w:right w:val="single" w:sz="4" w:space="0" w:color="auto"/>
            </w:tcBorders>
            <w:shd w:val="clear" w:color="auto" w:fill="auto"/>
            <w:noWrap/>
            <w:vAlign w:val="bottom"/>
            <w:hideMark/>
          </w:tcPr>
          <w:p w14:paraId="29D91296" w14:textId="2C95437C"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257,371.92 </w:t>
            </w:r>
          </w:p>
        </w:tc>
        <w:tc>
          <w:tcPr>
            <w:tcW w:w="1620" w:type="dxa"/>
            <w:tcBorders>
              <w:top w:val="nil"/>
              <w:left w:val="nil"/>
              <w:bottom w:val="single" w:sz="4" w:space="0" w:color="auto"/>
              <w:right w:val="single" w:sz="4" w:space="0" w:color="auto"/>
            </w:tcBorders>
            <w:shd w:val="clear" w:color="auto" w:fill="auto"/>
            <w:noWrap/>
            <w:vAlign w:val="bottom"/>
            <w:hideMark/>
          </w:tcPr>
          <w:p w14:paraId="07AAD69E" w14:textId="754AB600"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142,787.09 </w:t>
            </w:r>
          </w:p>
        </w:tc>
      </w:tr>
      <w:tr w:rsidR="003A5945" w:rsidRPr="00824BC0" w14:paraId="3544DAC8" w14:textId="77777777" w:rsidTr="00113EBF">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2D3843E0" w14:textId="4E35028E" w:rsidR="003A5945" w:rsidRPr="00824BC0" w:rsidRDefault="003A5945" w:rsidP="003A5945">
            <w:pPr>
              <w:spacing w:after="0" w:line="240" w:lineRule="auto"/>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November </w:t>
            </w:r>
          </w:p>
        </w:tc>
        <w:tc>
          <w:tcPr>
            <w:tcW w:w="1530" w:type="dxa"/>
            <w:tcBorders>
              <w:top w:val="nil"/>
              <w:left w:val="nil"/>
              <w:bottom w:val="single" w:sz="4" w:space="0" w:color="auto"/>
              <w:right w:val="single" w:sz="4" w:space="0" w:color="auto"/>
            </w:tcBorders>
            <w:shd w:val="clear" w:color="auto" w:fill="auto"/>
            <w:noWrap/>
            <w:vAlign w:val="bottom"/>
            <w:hideMark/>
          </w:tcPr>
          <w:p w14:paraId="6290B660" w14:textId="62AFD26F"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142,787.09 </w:t>
            </w:r>
          </w:p>
        </w:tc>
        <w:tc>
          <w:tcPr>
            <w:tcW w:w="1440" w:type="dxa"/>
            <w:tcBorders>
              <w:top w:val="nil"/>
              <w:left w:val="nil"/>
              <w:bottom w:val="single" w:sz="4" w:space="0" w:color="auto"/>
              <w:right w:val="single" w:sz="4" w:space="0" w:color="auto"/>
            </w:tcBorders>
            <w:shd w:val="clear" w:color="auto" w:fill="auto"/>
            <w:noWrap/>
            <w:vAlign w:val="bottom"/>
            <w:hideMark/>
          </w:tcPr>
          <w:p w14:paraId="64B15E15" w14:textId="0E28C5CB"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33,419.30 </w:t>
            </w:r>
          </w:p>
        </w:tc>
        <w:tc>
          <w:tcPr>
            <w:tcW w:w="1530" w:type="dxa"/>
            <w:tcBorders>
              <w:top w:val="nil"/>
              <w:left w:val="nil"/>
              <w:bottom w:val="single" w:sz="4" w:space="0" w:color="auto"/>
              <w:right w:val="single" w:sz="4" w:space="0" w:color="auto"/>
            </w:tcBorders>
            <w:shd w:val="clear" w:color="auto" w:fill="auto"/>
            <w:noWrap/>
            <w:vAlign w:val="bottom"/>
            <w:hideMark/>
          </w:tcPr>
          <w:p w14:paraId="03734A56" w14:textId="4D38AB93"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176,206.39 </w:t>
            </w:r>
          </w:p>
        </w:tc>
        <w:tc>
          <w:tcPr>
            <w:tcW w:w="1440" w:type="dxa"/>
            <w:tcBorders>
              <w:top w:val="nil"/>
              <w:left w:val="nil"/>
              <w:bottom w:val="single" w:sz="4" w:space="0" w:color="auto"/>
              <w:right w:val="single" w:sz="4" w:space="0" w:color="auto"/>
            </w:tcBorders>
            <w:shd w:val="clear" w:color="auto" w:fill="auto"/>
            <w:noWrap/>
            <w:vAlign w:val="bottom"/>
            <w:hideMark/>
          </w:tcPr>
          <w:p w14:paraId="78F77EA2" w14:textId="121B1466"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142,787.09 </w:t>
            </w:r>
          </w:p>
        </w:tc>
        <w:tc>
          <w:tcPr>
            <w:tcW w:w="1620" w:type="dxa"/>
            <w:tcBorders>
              <w:top w:val="nil"/>
              <w:left w:val="nil"/>
              <w:bottom w:val="single" w:sz="4" w:space="0" w:color="auto"/>
              <w:right w:val="single" w:sz="4" w:space="0" w:color="auto"/>
            </w:tcBorders>
            <w:shd w:val="clear" w:color="auto" w:fill="auto"/>
            <w:noWrap/>
            <w:vAlign w:val="bottom"/>
            <w:hideMark/>
          </w:tcPr>
          <w:p w14:paraId="49C2124C" w14:textId="33EA5968"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33,419.30 </w:t>
            </w:r>
          </w:p>
        </w:tc>
      </w:tr>
      <w:tr w:rsidR="003A5945" w:rsidRPr="00824BC0" w14:paraId="3C6D4D00" w14:textId="77777777" w:rsidTr="00113EBF">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2D89F716" w14:textId="4074C824" w:rsidR="003A5945" w:rsidRPr="00824BC0" w:rsidRDefault="003A5945" w:rsidP="003A5945">
            <w:pPr>
              <w:spacing w:after="0" w:line="240" w:lineRule="auto"/>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December </w:t>
            </w:r>
          </w:p>
        </w:tc>
        <w:tc>
          <w:tcPr>
            <w:tcW w:w="1530" w:type="dxa"/>
            <w:tcBorders>
              <w:top w:val="nil"/>
              <w:left w:val="nil"/>
              <w:bottom w:val="single" w:sz="4" w:space="0" w:color="auto"/>
              <w:right w:val="single" w:sz="4" w:space="0" w:color="auto"/>
            </w:tcBorders>
            <w:shd w:val="clear" w:color="auto" w:fill="auto"/>
            <w:noWrap/>
            <w:vAlign w:val="bottom"/>
            <w:hideMark/>
          </w:tcPr>
          <w:p w14:paraId="20D8C4F6" w14:textId="5B2EF35B"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33,419.30 </w:t>
            </w:r>
          </w:p>
        </w:tc>
        <w:tc>
          <w:tcPr>
            <w:tcW w:w="1440" w:type="dxa"/>
            <w:tcBorders>
              <w:top w:val="nil"/>
              <w:left w:val="nil"/>
              <w:bottom w:val="single" w:sz="4" w:space="0" w:color="auto"/>
              <w:right w:val="single" w:sz="4" w:space="0" w:color="auto"/>
            </w:tcBorders>
            <w:shd w:val="clear" w:color="auto" w:fill="auto"/>
            <w:noWrap/>
            <w:vAlign w:val="bottom"/>
            <w:hideMark/>
          </w:tcPr>
          <w:p w14:paraId="3708CD29" w14:textId="333AC193"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191,189.67 </w:t>
            </w:r>
          </w:p>
        </w:tc>
        <w:tc>
          <w:tcPr>
            <w:tcW w:w="1530" w:type="dxa"/>
            <w:tcBorders>
              <w:top w:val="nil"/>
              <w:left w:val="nil"/>
              <w:bottom w:val="single" w:sz="4" w:space="0" w:color="auto"/>
              <w:right w:val="single" w:sz="4" w:space="0" w:color="auto"/>
            </w:tcBorders>
            <w:shd w:val="clear" w:color="auto" w:fill="auto"/>
            <w:noWrap/>
            <w:vAlign w:val="bottom"/>
            <w:hideMark/>
          </w:tcPr>
          <w:p w14:paraId="67B375C9" w14:textId="7021043C"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224,608.97 </w:t>
            </w:r>
          </w:p>
        </w:tc>
        <w:tc>
          <w:tcPr>
            <w:tcW w:w="1440" w:type="dxa"/>
            <w:tcBorders>
              <w:top w:val="nil"/>
              <w:left w:val="nil"/>
              <w:bottom w:val="single" w:sz="4" w:space="0" w:color="auto"/>
              <w:right w:val="single" w:sz="4" w:space="0" w:color="auto"/>
            </w:tcBorders>
            <w:shd w:val="clear" w:color="auto" w:fill="auto"/>
            <w:noWrap/>
            <w:vAlign w:val="bottom"/>
            <w:hideMark/>
          </w:tcPr>
          <w:p w14:paraId="6ABA7C54" w14:textId="3DAC57DA"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33,419.30 </w:t>
            </w:r>
          </w:p>
        </w:tc>
        <w:tc>
          <w:tcPr>
            <w:tcW w:w="1620" w:type="dxa"/>
            <w:tcBorders>
              <w:top w:val="nil"/>
              <w:left w:val="nil"/>
              <w:bottom w:val="single" w:sz="4" w:space="0" w:color="auto"/>
              <w:right w:val="single" w:sz="4" w:space="0" w:color="auto"/>
            </w:tcBorders>
            <w:shd w:val="clear" w:color="auto" w:fill="auto"/>
            <w:noWrap/>
            <w:vAlign w:val="bottom"/>
            <w:hideMark/>
          </w:tcPr>
          <w:p w14:paraId="0F409A54" w14:textId="17B308F6" w:rsidR="003A5945" w:rsidRPr="00824BC0" w:rsidRDefault="003A5945" w:rsidP="00113EBF">
            <w:pPr>
              <w:spacing w:after="0" w:line="240" w:lineRule="auto"/>
              <w:jc w:val="right"/>
              <w:rPr>
                <w:rFonts w:ascii="Times New Roman" w:eastAsia="Times New Roman" w:hAnsi="Times New Roman" w:cs="Times New Roman"/>
                <w:color w:val="000000"/>
                <w:lang w:eastAsia="en-PH"/>
              </w:rPr>
            </w:pPr>
            <w:r w:rsidRPr="00824BC0">
              <w:rPr>
                <w:rFonts w:ascii="Times New Roman" w:eastAsia="Times New Roman" w:hAnsi="Times New Roman" w:cs="Times New Roman"/>
                <w:color w:val="000000"/>
                <w:lang w:eastAsia="en-PH"/>
              </w:rPr>
              <w:t xml:space="preserve">191,189.67 </w:t>
            </w:r>
          </w:p>
        </w:tc>
      </w:tr>
    </w:tbl>
    <w:p w14:paraId="6466A108" w14:textId="392E4892" w:rsidR="003A5945" w:rsidRPr="00824BC0" w:rsidRDefault="003A5945" w:rsidP="003A5945">
      <w:pPr>
        <w:spacing w:after="0"/>
        <w:jc w:val="both"/>
        <w:rPr>
          <w:rFonts w:ascii="Times New Roman" w:hAnsi="Times New Roman" w:cs="Times New Roman"/>
          <w:bCs/>
          <w:sz w:val="24"/>
          <w:szCs w:val="24"/>
        </w:rPr>
      </w:pPr>
    </w:p>
    <w:p w14:paraId="770BB556" w14:textId="3CB0C760" w:rsidR="00B1011D" w:rsidRPr="00824BC0" w:rsidRDefault="00CC420D" w:rsidP="00CC420D">
      <w:pPr>
        <w:pStyle w:val="ListParagraph"/>
        <w:numPr>
          <w:ilvl w:val="1"/>
          <w:numId w:val="5"/>
        </w:numPr>
        <w:ind w:left="0" w:firstLine="0"/>
        <w:jc w:val="both"/>
        <w:rPr>
          <w:bCs/>
          <w:szCs w:val="24"/>
        </w:rPr>
      </w:pPr>
      <w:r w:rsidRPr="00824BC0">
        <w:rPr>
          <w:bCs/>
          <w:szCs w:val="24"/>
        </w:rPr>
        <w:t xml:space="preserve">The balance </w:t>
      </w:r>
      <w:r w:rsidR="008F61FC" w:rsidRPr="00824BC0">
        <w:rPr>
          <w:bCs/>
          <w:szCs w:val="24"/>
        </w:rPr>
        <w:t xml:space="preserve">as of December 31, 2021 </w:t>
      </w:r>
      <w:r w:rsidRPr="00824BC0">
        <w:rPr>
          <w:bCs/>
          <w:szCs w:val="24"/>
        </w:rPr>
        <w:t xml:space="preserve">totaling ₱1,459,069.64 was </w:t>
      </w:r>
      <w:r w:rsidR="00094B5D" w:rsidRPr="00824BC0">
        <w:rPr>
          <w:bCs/>
          <w:szCs w:val="24"/>
        </w:rPr>
        <w:t>full</w:t>
      </w:r>
      <w:r w:rsidR="00351E85">
        <w:rPr>
          <w:bCs/>
          <w:szCs w:val="24"/>
        </w:rPr>
        <w:t>y</w:t>
      </w:r>
      <w:r w:rsidR="00094B5D" w:rsidRPr="00824BC0">
        <w:rPr>
          <w:bCs/>
          <w:szCs w:val="24"/>
        </w:rPr>
        <w:t xml:space="preserve"> </w:t>
      </w:r>
      <w:r w:rsidRPr="00824BC0">
        <w:rPr>
          <w:bCs/>
          <w:szCs w:val="24"/>
        </w:rPr>
        <w:t xml:space="preserve">remitted </w:t>
      </w:r>
      <w:r w:rsidR="00A2118F" w:rsidRPr="00824BC0">
        <w:rPr>
          <w:bCs/>
          <w:szCs w:val="24"/>
        </w:rPr>
        <w:t xml:space="preserve">to the BIR </w:t>
      </w:r>
      <w:r w:rsidRPr="00824BC0">
        <w:rPr>
          <w:bCs/>
          <w:szCs w:val="24"/>
        </w:rPr>
        <w:t>on January 10, 2022</w:t>
      </w:r>
      <w:r w:rsidR="00B1011D" w:rsidRPr="00824BC0">
        <w:rPr>
          <w:bCs/>
          <w:szCs w:val="24"/>
        </w:rPr>
        <w:t>, as evidenced by the following reference numbers:</w:t>
      </w:r>
    </w:p>
    <w:p w14:paraId="703ADB7D" w14:textId="750CA3E4" w:rsidR="00B1011D" w:rsidRPr="00824BC0" w:rsidRDefault="00B1011D" w:rsidP="00B1011D">
      <w:pPr>
        <w:pStyle w:val="ListParagraph"/>
        <w:ind w:left="0"/>
        <w:jc w:val="both"/>
        <w:rPr>
          <w:bCs/>
          <w:szCs w:val="24"/>
        </w:rPr>
      </w:pPr>
    </w:p>
    <w:p w14:paraId="00F8578B" w14:textId="77777777" w:rsidR="00094B5D" w:rsidRPr="00824BC0" w:rsidRDefault="00094B5D" w:rsidP="00B1011D">
      <w:pPr>
        <w:pStyle w:val="ListParagraph"/>
        <w:ind w:left="0"/>
        <w:jc w:val="both"/>
        <w:rPr>
          <w:bCs/>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4320"/>
      </w:tblGrid>
      <w:tr w:rsidR="00B1011D" w:rsidRPr="00824BC0" w14:paraId="46C67A15" w14:textId="77777777" w:rsidTr="00B1011D">
        <w:tc>
          <w:tcPr>
            <w:tcW w:w="3600" w:type="dxa"/>
          </w:tcPr>
          <w:p w14:paraId="1DD8B27A" w14:textId="1E5673F4" w:rsidR="00B1011D" w:rsidRPr="00824BC0" w:rsidRDefault="00B1011D" w:rsidP="00B1011D">
            <w:pPr>
              <w:pStyle w:val="ListParagraph"/>
              <w:numPr>
                <w:ilvl w:val="0"/>
                <w:numId w:val="19"/>
              </w:numPr>
              <w:ind w:left="435" w:hanging="375"/>
              <w:jc w:val="both"/>
              <w:rPr>
                <w:bCs/>
                <w:i/>
                <w:iCs/>
                <w:szCs w:val="24"/>
                <w:u w:val="single"/>
              </w:rPr>
            </w:pPr>
            <w:r w:rsidRPr="00824BC0">
              <w:rPr>
                <w:bCs/>
                <w:i/>
                <w:iCs/>
                <w:szCs w:val="24"/>
                <w:u w:val="single"/>
              </w:rPr>
              <w:t>General Fund</w:t>
            </w:r>
          </w:p>
        </w:tc>
        <w:tc>
          <w:tcPr>
            <w:tcW w:w="4320" w:type="dxa"/>
          </w:tcPr>
          <w:p w14:paraId="1D43A2BA" w14:textId="77777777" w:rsidR="00B1011D" w:rsidRPr="00824BC0" w:rsidRDefault="00B1011D" w:rsidP="00B1011D">
            <w:pPr>
              <w:pStyle w:val="ListParagraph"/>
              <w:ind w:left="0"/>
              <w:jc w:val="both"/>
              <w:rPr>
                <w:bCs/>
                <w:i/>
                <w:iCs/>
                <w:szCs w:val="24"/>
              </w:rPr>
            </w:pPr>
          </w:p>
        </w:tc>
      </w:tr>
      <w:tr w:rsidR="00B1011D" w:rsidRPr="00824BC0" w14:paraId="6C01401D" w14:textId="77777777" w:rsidTr="00B1011D">
        <w:tc>
          <w:tcPr>
            <w:tcW w:w="3600" w:type="dxa"/>
          </w:tcPr>
          <w:p w14:paraId="47466087" w14:textId="1796D20C" w:rsidR="00B1011D" w:rsidRPr="00824BC0" w:rsidRDefault="00B1011D" w:rsidP="00B1011D">
            <w:pPr>
              <w:pStyle w:val="ListParagraph"/>
              <w:jc w:val="both"/>
              <w:rPr>
                <w:bCs/>
                <w:szCs w:val="24"/>
              </w:rPr>
            </w:pPr>
            <w:r w:rsidRPr="00824BC0">
              <w:t xml:space="preserve"> BIR 1601-C </w:t>
            </w:r>
          </w:p>
        </w:tc>
        <w:tc>
          <w:tcPr>
            <w:tcW w:w="4320" w:type="dxa"/>
          </w:tcPr>
          <w:p w14:paraId="71F20045" w14:textId="79A30564" w:rsidR="00B1011D" w:rsidRPr="00824BC0" w:rsidRDefault="00B1011D" w:rsidP="00B1011D">
            <w:pPr>
              <w:pStyle w:val="ListParagraph"/>
              <w:ind w:left="0"/>
              <w:jc w:val="both"/>
              <w:rPr>
                <w:bCs/>
                <w:szCs w:val="24"/>
              </w:rPr>
            </w:pPr>
            <w:r w:rsidRPr="00824BC0">
              <w:t>52582022584234</w:t>
            </w:r>
          </w:p>
        </w:tc>
      </w:tr>
      <w:tr w:rsidR="00B1011D" w:rsidRPr="00824BC0" w14:paraId="61CD67E3" w14:textId="77777777" w:rsidTr="00B1011D">
        <w:tc>
          <w:tcPr>
            <w:tcW w:w="3600" w:type="dxa"/>
          </w:tcPr>
          <w:p w14:paraId="61A7C101" w14:textId="1004CCD6" w:rsidR="00B1011D" w:rsidRPr="00824BC0" w:rsidRDefault="00B1011D" w:rsidP="00B1011D">
            <w:pPr>
              <w:pStyle w:val="ListParagraph"/>
              <w:jc w:val="both"/>
              <w:rPr>
                <w:bCs/>
                <w:szCs w:val="24"/>
              </w:rPr>
            </w:pPr>
            <w:r w:rsidRPr="00824BC0">
              <w:t xml:space="preserve"> BIR 1600 </w:t>
            </w:r>
          </w:p>
        </w:tc>
        <w:tc>
          <w:tcPr>
            <w:tcW w:w="4320" w:type="dxa"/>
          </w:tcPr>
          <w:p w14:paraId="7BA41BDA" w14:textId="7E12BC25" w:rsidR="00B1011D" w:rsidRPr="00824BC0" w:rsidRDefault="00B1011D" w:rsidP="00B1011D">
            <w:pPr>
              <w:pStyle w:val="ListParagraph"/>
              <w:ind w:left="0"/>
              <w:jc w:val="both"/>
              <w:rPr>
                <w:bCs/>
                <w:szCs w:val="24"/>
              </w:rPr>
            </w:pPr>
            <w:r w:rsidRPr="00824BC0">
              <w:t>52582022584290</w:t>
            </w:r>
          </w:p>
        </w:tc>
      </w:tr>
      <w:tr w:rsidR="00B1011D" w:rsidRPr="00824BC0" w14:paraId="0B229F8C" w14:textId="77777777" w:rsidTr="00B1011D">
        <w:tc>
          <w:tcPr>
            <w:tcW w:w="3600" w:type="dxa"/>
          </w:tcPr>
          <w:p w14:paraId="4240ED82" w14:textId="2332E33E" w:rsidR="00B1011D" w:rsidRPr="00824BC0" w:rsidRDefault="00B1011D" w:rsidP="00B1011D">
            <w:pPr>
              <w:pStyle w:val="ListParagraph"/>
              <w:jc w:val="both"/>
              <w:rPr>
                <w:bCs/>
                <w:szCs w:val="24"/>
              </w:rPr>
            </w:pPr>
            <w:r w:rsidRPr="00824BC0">
              <w:t xml:space="preserve"> BIR 1601-E </w:t>
            </w:r>
          </w:p>
        </w:tc>
        <w:tc>
          <w:tcPr>
            <w:tcW w:w="4320" w:type="dxa"/>
          </w:tcPr>
          <w:p w14:paraId="4FE479D4" w14:textId="2FC8CA28" w:rsidR="00B1011D" w:rsidRPr="00824BC0" w:rsidRDefault="00B1011D" w:rsidP="00B1011D">
            <w:pPr>
              <w:pStyle w:val="ListParagraph"/>
              <w:ind w:left="0"/>
              <w:jc w:val="both"/>
              <w:rPr>
                <w:bCs/>
                <w:szCs w:val="24"/>
              </w:rPr>
            </w:pPr>
            <w:r w:rsidRPr="00824BC0">
              <w:t>52582022584364</w:t>
            </w:r>
          </w:p>
        </w:tc>
      </w:tr>
      <w:tr w:rsidR="009D7477" w:rsidRPr="00824BC0" w14:paraId="2DFE32EC" w14:textId="77777777" w:rsidTr="00B1011D">
        <w:tc>
          <w:tcPr>
            <w:tcW w:w="3600" w:type="dxa"/>
          </w:tcPr>
          <w:p w14:paraId="4FC1100B" w14:textId="77777777" w:rsidR="009D7477" w:rsidRPr="00824BC0" w:rsidRDefault="009D7477" w:rsidP="00B1011D">
            <w:pPr>
              <w:pStyle w:val="ListParagraph"/>
              <w:jc w:val="both"/>
            </w:pPr>
          </w:p>
        </w:tc>
        <w:tc>
          <w:tcPr>
            <w:tcW w:w="4320" w:type="dxa"/>
          </w:tcPr>
          <w:p w14:paraId="3C9151DC" w14:textId="77777777" w:rsidR="009D7477" w:rsidRPr="00824BC0" w:rsidRDefault="009D7477" w:rsidP="00B1011D">
            <w:pPr>
              <w:pStyle w:val="ListParagraph"/>
              <w:ind w:left="0"/>
              <w:jc w:val="both"/>
            </w:pPr>
          </w:p>
        </w:tc>
      </w:tr>
      <w:tr w:rsidR="00100AFA" w:rsidRPr="00824BC0" w14:paraId="3A63DC1E" w14:textId="77777777" w:rsidTr="00B1011D">
        <w:tc>
          <w:tcPr>
            <w:tcW w:w="3600" w:type="dxa"/>
          </w:tcPr>
          <w:p w14:paraId="324E8162" w14:textId="77777777" w:rsidR="00100AFA" w:rsidRPr="00824BC0" w:rsidRDefault="00100AFA" w:rsidP="00B1011D">
            <w:pPr>
              <w:pStyle w:val="ListParagraph"/>
              <w:jc w:val="both"/>
            </w:pPr>
          </w:p>
        </w:tc>
        <w:tc>
          <w:tcPr>
            <w:tcW w:w="4320" w:type="dxa"/>
          </w:tcPr>
          <w:p w14:paraId="08C64C25" w14:textId="77777777" w:rsidR="00100AFA" w:rsidRPr="00824BC0" w:rsidRDefault="00100AFA" w:rsidP="00B1011D">
            <w:pPr>
              <w:pStyle w:val="ListParagraph"/>
              <w:ind w:left="0"/>
              <w:jc w:val="both"/>
            </w:pPr>
          </w:p>
        </w:tc>
      </w:tr>
      <w:tr w:rsidR="00B1011D" w:rsidRPr="00824BC0" w14:paraId="4C2C1919" w14:textId="77777777" w:rsidTr="00D56FEC">
        <w:tc>
          <w:tcPr>
            <w:tcW w:w="3600" w:type="dxa"/>
          </w:tcPr>
          <w:p w14:paraId="61E1B877" w14:textId="529F5519" w:rsidR="00B1011D" w:rsidRPr="00824BC0" w:rsidRDefault="00B1011D" w:rsidP="00B1011D">
            <w:pPr>
              <w:pStyle w:val="ListParagraph"/>
              <w:numPr>
                <w:ilvl w:val="0"/>
                <w:numId w:val="19"/>
              </w:numPr>
              <w:ind w:left="435" w:hanging="375"/>
              <w:jc w:val="both"/>
              <w:rPr>
                <w:bCs/>
                <w:i/>
                <w:iCs/>
                <w:szCs w:val="24"/>
                <w:u w:val="single"/>
              </w:rPr>
            </w:pPr>
            <w:r w:rsidRPr="00824BC0">
              <w:rPr>
                <w:bCs/>
                <w:i/>
                <w:iCs/>
                <w:szCs w:val="24"/>
                <w:u w:val="single"/>
              </w:rPr>
              <w:t>Trust Fund</w:t>
            </w:r>
          </w:p>
        </w:tc>
        <w:tc>
          <w:tcPr>
            <w:tcW w:w="4320" w:type="dxa"/>
          </w:tcPr>
          <w:p w14:paraId="2B6E93E2" w14:textId="77777777" w:rsidR="00B1011D" w:rsidRPr="00824BC0" w:rsidRDefault="00B1011D" w:rsidP="00D56FEC">
            <w:pPr>
              <w:pStyle w:val="ListParagraph"/>
              <w:ind w:left="0"/>
              <w:jc w:val="both"/>
              <w:rPr>
                <w:bCs/>
                <w:i/>
                <w:iCs/>
                <w:szCs w:val="24"/>
              </w:rPr>
            </w:pPr>
          </w:p>
        </w:tc>
      </w:tr>
      <w:tr w:rsidR="009D7477" w:rsidRPr="00824BC0" w14:paraId="2E8890F8" w14:textId="77777777" w:rsidTr="00B1011D">
        <w:tc>
          <w:tcPr>
            <w:tcW w:w="3600" w:type="dxa"/>
          </w:tcPr>
          <w:p w14:paraId="432F5F37" w14:textId="63AC17D2" w:rsidR="009D7477" w:rsidRPr="00824BC0" w:rsidRDefault="009D7477" w:rsidP="009D7477">
            <w:pPr>
              <w:pStyle w:val="ListParagraph"/>
              <w:jc w:val="both"/>
            </w:pPr>
            <w:r w:rsidRPr="00824BC0">
              <w:t xml:space="preserve"> BIR 1600 </w:t>
            </w:r>
          </w:p>
        </w:tc>
        <w:tc>
          <w:tcPr>
            <w:tcW w:w="4320" w:type="dxa"/>
          </w:tcPr>
          <w:p w14:paraId="0B64A131" w14:textId="7794F7B0" w:rsidR="009D7477" w:rsidRPr="00824BC0" w:rsidRDefault="009D7477" w:rsidP="009D7477">
            <w:pPr>
              <w:pStyle w:val="ListParagraph"/>
              <w:ind w:left="0"/>
              <w:jc w:val="both"/>
            </w:pPr>
            <w:r w:rsidRPr="00824BC0">
              <w:t>172200045478023</w:t>
            </w:r>
          </w:p>
        </w:tc>
      </w:tr>
      <w:tr w:rsidR="009D7477" w:rsidRPr="00824BC0" w14:paraId="2FEF3B75" w14:textId="77777777" w:rsidTr="00B1011D">
        <w:tc>
          <w:tcPr>
            <w:tcW w:w="3600" w:type="dxa"/>
          </w:tcPr>
          <w:p w14:paraId="494C89B5" w14:textId="5C1AAF99" w:rsidR="009D7477" w:rsidRPr="00824BC0" w:rsidRDefault="009D7477" w:rsidP="009D7477">
            <w:pPr>
              <w:pStyle w:val="ListParagraph"/>
              <w:jc w:val="both"/>
            </w:pPr>
            <w:r w:rsidRPr="00824BC0">
              <w:t xml:space="preserve"> BIR 1601-E </w:t>
            </w:r>
          </w:p>
        </w:tc>
        <w:tc>
          <w:tcPr>
            <w:tcW w:w="4320" w:type="dxa"/>
          </w:tcPr>
          <w:p w14:paraId="184BD320" w14:textId="28EF25B5" w:rsidR="009D7477" w:rsidRPr="00824BC0" w:rsidRDefault="009D7477" w:rsidP="009D7477">
            <w:pPr>
              <w:pStyle w:val="ListParagraph"/>
              <w:ind w:left="0"/>
              <w:jc w:val="both"/>
            </w:pPr>
            <w:r w:rsidRPr="00824BC0">
              <w:t>402200045478870</w:t>
            </w:r>
          </w:p>
        </w:tc>
      </w:tr>
    </w:tbl>
    <w:p w14:paraId="7FCF6B4D" w14:textId="77777777" w:rsidR="00B1011D" w:rsidRPr="00824BC0" w:rsidRDefault="00B1011D" w:rsidP="00B1011D">
      <w:pPr>
        <w:pStyle w:val="ListParagraph"/>
        <w:ind w:left="0"/>
        <w:jc w:val="both"/>
        <w:rPr>
          <w:bCs/>
          <w:szCs w:val="24"/>
        </w:rPr>
      </w:pPr>
    </w:p>
    <w:p w14:paraId="3FA2DC23" w14:textId="1BCBDDE1" w:rsidR="00CC420D" w:rsidRPr="00824BC0" w:rsidRDefault="00CC420D" w:rsidP="00CC420D">
      <w:pPr>
        <w:pStyle w:val="ListParagraph"/>
        <w:numPr>
          <w:ilvl w:val="1"/>
          <w:numId w:val="5"/>
        </w:numPr>
        <w:ind w:left="0" w:firstLine="0"/>
        <w:jc w:val="both"/>
        <w:rPr>
          <w:bCs/>
          <w:szCs w:val="24"/>
        </w:rPr>
      </w:pPr>
      <w:r w:rsidRPr="00824BC0">
        <w:rPr>
          <w:bCs/>
          <w:szCs w:val="24"/>
        </w:rPr>
        <w:t xml:space="preserve">  The slight delays in </w:t>
      </w:r>
      <w:r w:rsidR="00A2118F" w:rsidRPr="00824BC0">
        <w:rPr>
          <w:bCs/>
          <w:szCs w:val="24"/>
        </w:rPr>
        <w:t xml:space="preserve">monthly </w:t>
      </w:r>
      <w:r w:rsidRPr="00824BC0">
        <w:rPr>
          <w:bCs/>
          <w:szCs w:val="24"/>
        </w:rPr>
        <w:t>remittance during the year was attributed to the declared community quarantines in the Province of Bulacan in CY 2021.</w:t>
      </w:r>
    </w:p>
    <w:p w14:paraId="1077A4F7" w14:textId="77777777" w:rsidR="00CC420D" w:rsidRPr="00824BC0" w:rsidRDefault="00CC420D" w:rsidP="00CC420D">
      <w:pPr>
        <w:pStyle w:val="ListParagraph"/>
        <w:ind w:left="0"/>
        <w:jc w:val="both"/>
        <w:rPr>
          <w:bCs/>
          <w:szCs w:val="24"/>
        </w:rPr>
      </w:pPr>
    </w:p>
    <w:p w14:paraId="1E067A7F" w14:textId="1A6C8562" w:rsidR="00CC420D" w:rsidRPr="00824BC0" w:rsidRDefault="00CC420D" w:rsidP="00CC420D">
      <w:pPr>
        <w:pStyle w:val="ListParagraph"/>
        <w:numPr>
          <w:ilvl w:val="1"/>
          <w:numId w:val="5"/>
        </w:numPr>
        <w:ind w:left="0" w:firstLine="0"/>
        <w:jc w:val="both"/>
        <w:rPr>
          <w:bCs/>
          <w:szCs w:val="24"/>
        </w:rPr>
      </w:pPr>
      <w:r w:rsidRPr="00824BC0">
        <w:rPr>
          <w:b/>
          <w:szCs w:val="24"/>
        </w:rPr>
        <w:t xml:space="preserve">We recommended and Management agreed to continue to be compliant with Revenue Regulations No. 2-98 on the withholding of the appropriate taxes from its </w:t>
      </w:r>
      <w:r w:rsidR="00094B5D" w:rsidRPr="00824BC0">
        <w:rPr>
          <w:b/>
          <w:szCs w:val="24"/>
        </w:rPr>
        <w:t>employee</w:t>
      </w:r>
      <w:r w:rsidR="006024A3">
        <w:rPr>
          <w:b/>
          <w:szCs w:val="24"/>
        </w:rPr>
        <w:t>s</w:t>
      </w:r>
      <w:r w:rsidR="00094B5D" w:rsidRPr="00824BC0">
        <w:rPr>
          <w:b/>
          <w:szCs w:val="24"/>
        </w:rPr>
        <w:t>, compensation and contractors’/suppliers’ claims</w:t>
      </w:r>
      <w:r w:rsidRPr="00824BC0">
        <w:rPr>
          <w:b/>
          <w:szCs w:val="24"/>
        </w:rPr>
        <w:t xml:space="preserve"> and ensure remittance thereof within the prescribed period.</w:t>
      </w:r>
    </w:p>
    <w:p w14:paraId="70408658" w14:textId="240038FA" w:rsidR="00CC420D" w:rsidRPr="00824BC0" w:rsidRDefault="00CC420D" w:rsidP="00CC420D">
      <w:pPr>
        <w:pStyle w:val="ListParagraph"/>
        <w:rPr>
          <w:bCs/>
          <w:szCs w:val="24"/>
        </w:rPr>
      </w:pPr>
    </w:p>
    <w:p w14:paraId="37968CA3" w14:textId="77777777" w:rsidR="00100AFA" w:rsidRPr="00824BC0" w:rsidRDefault="00100AFA" w:rsidP="00CC420D">
      <w:pPr>
        <w:pStyle w:val="ListParagraph"/>
        <w:rPr>
          <w:bCs/>
          <w:szCs w:val="24"/>
        </w:rPr>
      </w:pPr>
    </w:p>
    <w:p w14:paraId="0624BABE" w14:textId="58E39724" w:rsidR="00CC420D" w:rsidRPr="00824BC0" w:rsidRDefault="00CC420D" w:rsidP="00A2118F">
      <w:pPr>
        <w:spacing w:after="0"/>
        <w:jc w:val="both"/>
        <w:rPr>
          <w:rFonts w:ascii="Times New Roman" w:hAnsi="Times New Roman" w:cs="Times New Roman"/>
          <w:bCs/>
          <w:i/>
          <w:iCs/>
          <w:sz w:val="24"/>
          <w:szCs w:val="24"/>
        </w:rPr>
      </w:pPr>
      <w:r w:rsidRPr="00824BC0">
        <w:rPr>
          <w:rFonts w:ascii="Times New Roman" w:hAnsi="Times New Roman" w:cs="Times New Roman"/>
          <w:bCs/>
          <w:i/>
          <w:iCs/>
          <w:sz w:val="24"/>
          <w:szCs w:val="24"/>
        </w:rPr>
        <w:t xml:space="preserve">Compliance with </w:t>
      </w:r>
      <w:r w:rsidR="00A2118F" w:rsidRPr="00824BC0">
        <w:rPr>
          <w:rFonts w:ascii="Times New Roman" w:hAnsi="Times New Roman" w:cs="Times New Roman"/>
          <w:bCs/>
          <w:i/>
          <w:iCs/>
          <w:sz w:val="24"/>
          <w:szCs w:val="24"/>
        </w:rPr>
        <w:t xml:space="preserve">Republic Act </w:t>
      </w:r>
      <w:r w:rsidR="00094B5D" w:rsidRPr="00824BC0">
        <w:rPr>
          <w:rFonts w:ascii="Times New Roman" w:hAnsi="Times New Roman" w:cs="Times New Roman"/>
          <w:bCs/>
          <w:i/>
          <w:iCs/>
          <w:sz w:val="24"/>
          <w:szCs w:val="24"/>
        </w:rPr>
        <w:t xml:space="preserve">(R.A.) </w:t>
      </w:r>
      <w:r w:rsidR="00A2118F" w:rsidRPr="00824BC0">
        <w:rPr>
          <w:rFonts w:ascii="Times New Roman" w:hAnsi="Times New Roman" w:cs="Times New Roman"/>
          <w:bCs/>
          <w:i/>
          <w:iCs/>
          <w:sz w:val="24"/>
          <w:szCs w:val="24"/>
        </w:rPr>
        <w:t>No. 8291 (GSIS Law)</w:t>
      </w:r>
    </w:p>
    <w:p w14:paraId="6E090DAD" w14:textId="6C5E8A79" w:rsidR="00A2118F" w:rsidRPr="00824BC0" w:rsidRDefault="00A2118F" w:rsidP="00A2118F">
      <w:pPr>
        <w:spacing w:after="0"/>
        <w:jc w:val="both"/>
        <w:rPr>
          <w:rFonts w:ascii="Times New Roman" w:hAnsi="Times New Roman" w:cs="Times New Roman"/>
          <w:bCs/>
          <w:i/>
          <w:iCs/>
          <w:sz w:val="24"/>
          <w:szCs w:val="24"/>
        </w:rPr>
      </w:pPr>
    </w:p>
    <w:p w14:paraId="01F34211" w14:textId="24A9464C" w:rsidR="00A2118F" w:rsidRPr="006024A3" w:rsidRDefault="00A2118F" w:rsidP="00A2118F">
      <w:pPr>
        <w:pStyle w:val="ListParagraph"/>
        <w:numPr>
          <w:ilvl w:val="0"/>
          <w:numId w:val="5"/>
        </w:numPr>
        <w:ind w:left="0" w:firstLine="0"/>
        <w:jc w:val="both"/>
        <w:rPr>
          <w:b/>
          <w:i/>
          <w:iCs/>
          <w:szCs w:val="24"/>
        </w:rPr>
      </w:pPr>
      <w:r w:rsidRPr="006024A3">
        <w:rPr>
          <w:b/>
          <w:i/>
          <w:iCs/>
          <w:szCs w:val="24"/>
        </w:rPr>
        <w:t xml:space="preserve">The </w:t>
      </w:r>
      <w:r w:rsidR="00094B5D" w:rsidRPr="006024A3">
        <w:rPr>
          <w:b/>
          <w:i/>
          <w:iCs/>
          <w:szCs w:val="24"/>
        </w:rPr>
        <w:t xml:space="preserve">College </w:t>
      </w:r>
      <w:r w:rsidRPr="006024A3">
        <w:rPr>
          <w:b/>
          <w:i/>
          <w:iCs/>
          <w:szCs w:val="24"/>
        </w:rPr>
        <w:t xml:space="preserve">judiciously complied with the regulations on the remittances of mandatory contributions due to the Government Service Insurance System (GSIS) in accordance with the </w:t>
      </w:r>
      <w:r w:rsidR="00F3231D" w:rsidRPr="006024A3">
        <w:rPr>
          <w:b/>
          <w:i/>
          <w:iCs/>
          <w:szCs w:val="24"/>
        </w:rPr>
        <w:t>regulations</w:t>
      </w:r>
      <w:r w:rsidRPr="006024A3">
        <w:rPr>
          <w:b/>
          <w:i/>
          <w:iCs/>
          <w:szCs w:val="24"/>
        </w:rPr>
        <w:t xml:space="preserve"> of Republic Act </w:t>
      </w:r>
      <w:r w:rsidR="00F3231D" w:rsidRPr="006024A3">
        <w:rPr>
          <w:b/>
          <w:i/>
          <w:iCs/>
          <w:szCs w:val="24"/>
        </w:rPr>
        <w:t xml:space="preserve">(R.A.) </w:t>
      </w:r>
      <w:r w:rsidRPr="006024A3">
        <w:rPr>
          <w:b/>
          <w:i/>
          <w:iCs/>
          <w:szCs w:val="24"/>
        </w:rPr>
        <w:t>No. 8291 or the GSIS Law.</w:t>
      </w:r>
    </w:p>
    <w:p w14:paraId="363C46DA" w14:textId="2A8053F9" w:rsidR="00A2118F" w:rsidRPr="00824BC0" w:rsidRDefault="00A2118F" w:rsidP="003803AD">
      <w:pPr>
        <w:pStyle w:val="ListParagraph"/>
        <w:ind w:left="0"/>
        <w:jc w:val="both"/>
        <w:rPr>
          <w:b/>
          <w:szCs w:val="24"/>
        </w:rPr>
      </w:pPr>
    </w:p>
    <w:p w14:paraId="34432B99" w14:textId="20E30F4E" w:rsidR="003803AD" w:rsidRPr="00824BC0" w:rsidRDefault="003803AD" w:rsidP="003803AD">
      <w:pPr>
        <w:pStyle w:val="ListParagraph"/>
        <w:numPr>
          <w:ilvl w:val="1"/>
          <w:numId w:val="5"/>
        </w:numPr>
        <w:ind w:left="0" w:firstLine="0"/>
        <w:contextualSpacing w:val="0"/>
        <w:jc w:val="both"/>
        <w:rPr>
          <w:color w:val="000000" w:themeColor="text1"/>
        </w:rPr>
      </w:pPr>
      <w:r w:rsidRPr="00824BC0">
        <w:rPr>
          <w:color w:val="000000" w:themeColor="text1"/>
        </w:rPr>
        <w:t xml:space="preserve">Paragraph b, Section 6 of </w:t>
      </w:r>
      <w:r w:rsidR="00F3231D" w:rsidRPr="00824BC0">
        <w:rPr>
          <w:color w:val="000000" w:themeColor="text1"/>
        </w:rPr>
        <w:t>Republic Act (</w:t>
      </w:r>
      <w:r w:rsidRPr="00824BC0">
        <w:rPr>
          <w:color w:val="000000" w:themeColor="text1"/>
        </w:rPr>
        <w:t>R.A.</w:t>
      </w:r>
      <w:r w:rsidR="00F3231D" w:rsidRPr="00824BC0">
        <w:rPr>
          <w:color w:val="000000" w:themeColor="text1"/>
        </w:rPr>
        <w:t>)</w:t>
      </w:r>
      <w:r w:rsidRPr="00824BC0">
        <w:rPr>
          <w:color w:val="000000" w:themeColor="text1"/>
        </w:rPr>
        <w:t xml:space="preserve"> No. 8291, known as The Government Service Insurance System Act of 1997 states that</w:t>
      </w:r>
      <w:r w:rsidR="004C4ADC" w:rsidRPr="00824BC0">
        <w:rPr>
          <w:color w:val="000000" w:themeColor="text1"/>
        </w:rPr>
        <w:t>,</w:t>
      </w:r>
      <w:r w:rsidRPr="00824BC0">
        <w:rPr>
          <w:color w:val="000000" w:themeColor="text1"/>
        </w:rPr>
        <w:t xml:space="preserve"> </w:t>
      </w:r>
      <w:r w:rsidRPr="00824BC0">
        <w:rPr>
          <w:i/>
          <w:iCs/>
          <w:color w:val="000000" w:themeColor="text1"/>
        </w:rPr>
        <w:t xml:space="preserve">employer shall remit directly to the GSIS the employees' and employers' contributions </w:t>
      </w:r>
      <w:r w:rsidRPr="00824BC0">
        <w:rPr>
          <w:b/>
          <w:i/>
          <w:iCs/>
          <w:color w:val="000000" w:themeColor="text1"/>
        </w:rPr>
        <w:t>within the first ten (10) days of the calendar month following the month to which the contributions apply</w:t>
      </w:r>
      <w:r w:rsidRPr="00824BC0">
        <w:rPr>
          <w:i/>
          <w:iCs/>
          <w:color w:val="000000" w:themeColor="text1"/>
        </w:rPr>
        <w:t>. The remittance by the employer of the contributions to the GSIS shall take priority over and above the payment of any and all obligations, except salaries and wages of its employees.</w:t>
      </w:r>
      <w:r w:rsidR="006024A3">
        <w:rPr>
          <w:i/>
          <w:iCs/>
          <w:color w:val="000000" w:themeColor="text1"/>
        </w:rPr>
        <w:t xml:space="preserve"> </w:t>
      </w:r>
      <w:r w:rsidR="004C4ADC" w:rsidRPr="00824BC0">
        <w:rPr>
          <w:i/>
          <w:iCs/>
          <w:color w:val="000000" w:themeColor="text1"/>
        </w:rPr>
        <w:t>(Emphasis supplied)</w:t>
      </w:r>
    </w:p>
    <w:p w14:paraId="62006540" w14:textId="77777777" w:rsidR="003803AD" w:rsidRPr="00824BC0" w:rsidRDefault="003803AD" w:rsidP="003803AD">
      <w:pPr>
        <w:pStyle w:val="ListParagraph"/>
        <w:ind w:left="0"/>
        <w:contextualSpacing w:val="0"/>
        <w:jc w:val="both"/>
        <w:rPr>
          <w:color w:val="000000" w:themeColor="text1"/>
        </w:rPr>
      </w:pPr>
    </w:p>
    <w:p w14:paraId="53631459" w14:textId="04232CA3" w:rsidR="003803AD" w:rsidRPr="00824BC0" w:rsidRDefault="003803AD" w:rsidP="003803AD">
      <w:pPr>
        <w:pStyle w:val="ListParagraph"/>
        <w:numPr>
          <w:ilvl w:val="1"/>
          <w:numId w:val="5"/>
        </w:numPr>
        <w:ind w:left="0" w:firstLine="0"/>
        <w:contextualSpacing w:val="0"/>
        <w:jc w:val="both"/>
        <w:rPr>
          <w:color w:val="000000" w:themeColor="text1"/>
        </w:rPr>
      </w:pPr>
      <w:r w:rsidRPr="00824BC0">
        <w:rPr>
          <w:color w:val="000000" w:themeColor="text1"/>
        </w:rPr>
        <w:t xml:space="preserve">Verification on the withholding and remittance of mandatory contributions to GSIS of the Bulacan Agricultural State College (BASC) for Calendar Year (CY) 2021 showed that the College has judiciously complied with the requirements of law, as presented </w:t>
      </w:r>
      <w:r w:rsidR="00F3231D" w:rsidRPr="00824BC0">
        <w:rPr>
          <w:color w:val="000000" w:themeColor="text1"/>
        </w:rPr>
        <w:t>in</w:t>
      </w:r>
      <w:r w:rsidRPr="00824BC0">
        <w:rPr>
          <w:color w:val="000000" w:themeColor="text1"/>
        </w:rPr>
        <w:t xml:space="preserve"> the table below:</w:t>
      </w:r>
    </w:p>
    <w:p w14:paraId="6688BDA4" w14:textId="1C236F8F" w:rsidR="003803AD" w:rsidRPr="00824BC0" w:rsidRDefault="003803AD" w:rsidP="003803AD">
      <w:pPr>
        <w:pStyle w:val="ListParagraph"/>
        <w:rPr>
          <w:color w:val="000000" w:themeColor="text1"/>
        </w:rPr>
      </w:pPr>
    </w:p>
    <w:tbl>
      <w:tblPr>
        <w:tblW w:w="8635" w:type="dxa"/>
        <w:tblLook w:val="04A0" w:firstRow="1" w:lastRow="0" w:firstColumn="1" w:lastColumn="0" w:noHBand="0" w:noVBand="1"/>
      </w:tblPr>
      <w:tblGrid>
        <w:gridCol w:w="1247"/>
        <w:gridCol w:w="1268"/>
        <w:gridCol w:w="1610"/>
        <w:gridCol w:w="1630"/>
        <w:gridCol w:w="1620"/>
        <w:gridCol w:w="1260"/>
      </w:tblGrid>
      <w:tr w:rsidR="003803AD" w:rsidRPr="00824BC0" w14:paraId="40940FEE" w14:textId="77777777" w:rsidTr="009D7477">
        <w:trPr>
          <w:trHeight w:val="600"/>
          <w:tblHeader/>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EABE7" w14:textId="0E150EDC" w:rsidR="003803AD" w:rsidRPr="00824BC0" w:rsidRDefault="003803AD" w:rsidP="00BB15B2">
            <w:pPr>
              <w:spacing w:after="0" w:line="240" w:lineRule="auto"/>
              <w:jc w:val="center"/>
              <w:rPr>
                <w:rFonts w:ascii="Times New Roman" w:eastAsia="Times New Roman" w:hAnsi="Times New Roman" w:cs="Times New Roman"/>
                <w:b/>
                <w:bCs/>
                <w:color w:val="000000"/>
                <w:sz w:val="24"/>
                <w:szCs w:val="24"/>
                <w:lang w:eastAsia="en-PH"/>
              </w:rPr>
            </w:pPr>
            <w:r w:rsidRPr="00824BC0">
              <w:rPr>
                <w:rFonts w:ascii="Times New Roman" w:eastAsia="Times New Roman" w:hAnsi="Times New Roman" w:cs="Times New Roman"/>
                <w:b/>
                <w:bCs/>
                <w:color w:val="000000"/>
                <w:sz w:val="24"/>
                <w:szCs w:val="24"/>
                <w:lang w:eastAsia="en-PH"/>
              </w:rPr>
              <w:t>General Fund 101</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149FF3C4" w14:textId="77777777" w:rsidR="00BB15B2" w:rsidRPr="00824BC0" w:rsidRDefault="003803AD" w:rsidP="00BB15B2">
            <w:pPr>
              <w:spacing w:after="0" w:line="240" w:lineRule="auto"/>
              <w:jc w:val="center"/>
              <w:rPr>
                <w:rFonts w:ascii="Times New Roman" w:eastAsia="Times New Roman" w:hAnsi="Times New Roman" w:cs="Times New Roman"/>
                <w:b/>
                <w:bCs/>
                <w:color w:val="000000"/>
                <w:sz w:val="24"/>
                <w:szCs w:val="24"/>
                <w:lang w:eastAsia="en-PH"/>
              </w:rPr>
            </w:pPr>
            <w:r w:rsidRPr="00824BC0">
              <w:rPr>
                <w:rFonts w:ascii="Times New Roman" w:eastAsia="Times New Roman" w:hAnsi="Times New Roman" w:cs="Times New Roman"/>
                <w:b/>
                <w:bCs/>
                <w:color w:val="000000"/>
                <w:sz w:val="24"/>
                <w:szCs w:val="24"/>
                <w:lang w:eastAsia="en-PH"/>
              </w:rPr>
              <w:t>Beginning</w:t>
            </w:r>
          </w:p>
          <w:p w14:paraId="4B859A81" w14:textId="58E7C511" w:rsidR="003803AD" w:rsidRPr="00824BC0" w:rsidRDefault="003803AD" w:rsidP="00BB15B2">
            <w:pPr>
              <w:spacing w:after="0" w:line="240" w:lineRule="auto"/>
              <w:jc w:val="center"/>
              <w:rPr>
                <w:rFonts w:ascii="Times New Roman" w:eastAsia="Times New Roman" w:hAnsi="Times New Roman" w:cs="Times New Roman"/>
                <w:b/>
                <w:bCs/>
                <w:color w:val="000000"/>
                <w:sz w:val="24"/>
                <w:szCs w:val="24"/>
                <w:lang w:eastAsia="en-PH"/>
              </w:rPr>
            </w:pPr>
            <w:r w:rsidRPr="00824BC0">
              <w:rPr>
                <w:rFonts w:ascii="Times New Roman" w:eastAsia="Times New Roman" w:hAnsi="Times New Roman" w:cs="Times New Roman"/>
                <w:b/>
                <w:bCs/>
                <w:color w:val="000000"/>
                <w:sz w:val="24"/>
                <w:szCs w:val="24"/>
                <w:lang w:eastAsia="en-PH"/>
              </w:rPr>
              <w:t>Balance</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14:paraId="5F851BAE" w14:textId="4E801164" w:rsidR="003803AD" w:rsidRPr="00824BC0" w:rsidRDefault="003803AD" w:rsidP="00BB15B2">
            <w:pPr>
              <w:spacing w:after="0" w:line="240" w:lineRule="auto"/>
              <w:jc w:val="center"/>
              <w:rPr>
                <w:rFonts w:ascii="Times New Roman" w:eastAsia="Times New Roman" w:hAnsi="Times New Roman" w:cs="Times New Roman"/>
                <w:b/>
                <w:bCs/>
                <w:color w:val="000000"/>
                <w:sz w:val="24"/>
                <w:szCs w:val="24"/>
                <w:lang w:eastAsia="en-PH"/>
              </w:rPr>
            </w:pPr>
            <w:r w:rsidRPr="00824BC0">
              <w:rPr>
                <w:rFonts w:ascii="Times New Roman" w:eastAsia="Times New Roman" w:hAnsi="Times New Roman" w:cs="Times New Roman"/>
                <w:b/>
                <w:bCs/>
                <w:color w:val="000000"/>
                <w:sz w:val="24"/>
                <w:szCs w:val="24"/>
                <w:lang w:eastAsia="en-PH"/>
              </w:rPr>
              <w:t>Amount Withheld</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1083D3BB" w14:textId="51D89283" w:rsidR="003803AD" w:rsidRPr="00824BC0" w:rsidRDefault="003803AD" w:rsidP="00BB15B2">
            <w:pPr>
              <w:spacing w:after="0" w:line="240" w:lineRule="auto"/>
              <w:jc w:val="center"/>
              <w:rPr>
                <w:rFonts w:ascii="Times New Roman" w:eastAsia="Times New Roman" w:hAnsi="Times New Roman" w:cs="Times New Roman"/>
                <w:b/>
                <w:bCs/>
                <w:color w:val="000000"/>
                <w:sz w:val="24"/>
                <w:szCs w:val="24"/>
                <w:lang w:eastAsia="en-PH"/>
              </w:rPr>
            </w:pPr>
            <w:r w:rsidRPr="00824BC0">
              <w:rPr>
                <w:rFonts w:ascii="Times New Roman" w:eastAsia="Times New Roman" w:hAnsi="Times New Roman" w:cs="Times New Roman"/>
                <w:b/>
                <w:bCs/>
                <w:color w:val="000000"/>
                <w:sz w:val="24"/>
                <w:szCs w:val="24"/>
                <w:lang w:eastAsia="en-PH"/>
              </w:rPr>
              <w:t xml:space="preserve">Total </w:t>
            </w:r>
            <w:r w:rsidR="00F3231D" w:rsidRPr="00824BC0">
              <w:rPr>
                <w:rFonts w:ascii="Times New Roman" w:eastAsia="Times New Roman" w:hAnsi="Times New Roman" w:cs="Times New Roman"/>
                <w:b/>
                <w:bCs/>
                <w:color w:val="000000"/>
                <w:sz w:val="24"/>
                <w:szCs w:val="24"/>
                <w:lang w:eastAsia="en-PH"/>
              </w:rPr>
              <w:t>For Remittance</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C5E6787" w14:textId="72790C86" w:rsidR="003803AD" w:rsidRPr="00824BC0" w:rsidRDefault="003803AD" w:rsidP="00BB15B2">
            <w:pPr>
              <w:spacing w:after="0" w:line="240" w:lineRule="auto"/>
              <w:jc w:val="center"/>
              <w:rPr>
                <w:rFonts w:ascii="Times New Roman" w:eastAsia="Times New Roman" w:hAnsi="Times New Roman" w:cs="Times New Roman"/>
                <w:b/>
                <w:bCs/>
                <w:color w:val="000000"/>
                <w:sz w:val="24"/>
                <w:szCs w:val="24"/>
                <w:lang w:eastAsia="en-PH"/>
              </w:rPr>
            </w:pPr>
            <w:r w:rsidRPr="00824BC0">
              <w:rPr>
                <w:rFonts w:ascii="Times New Roman" w:eastAsia="Times New Roman" w:hAnsi="Times New Roman" w:cs="Times New Roman"/>
                <w:b/>
                <w:bCs/>
                <w:color w:val="000000"/>
                <w:sz w:val="24"/>
                <w:szCs w:val="24"/>
                <w:lang w:eastAsia="en-PH"/>
              </w:rPr>
              <w:t>Amount Remitted</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CB68188" w14:textId="12D7B6DA" w:rsidR="003803AD" w:rsidRPr="00824BC0" w:rsidRDefault="003803AD" w:rsidP="00BB15B2">
            <w:pPr>
              <w:spacing w:after="0" w:line="240" w:lineRule="auto"/>
              <w:jc w:val="center"/>
              <w:rPr>
                <w:rFonts w:ascii="Times New Roman" w:eastAsia="Times New Roman" w:hAnsi="Times New Roman" w:cs="Times New Roman"/>
                <w:b/>
                <w:bCs/>
                <w:color w:val="000000"/>
                <w:sz w:val="24"/>
                <w:szCs w:val="24"/>
                <w:lang w:eastAsia="en-PH"/>
              </w:rPr>
            </w:pPr>
            <w:r w:rsidRPr="00824BC0">
              <w:rPr>
                <w:rFonts w:ascii="Times New Roman" w:eastAsia="Times New Roman" w:hAnsi="Times New Roman" w:cs="Times New Roman"/>
                <w:b/>
                <w:bCs/>
                <w:color w:val="000000"/>
                <w:sz w:val="24"/>
                <w:szCs w:val="24"/>
                <w:lang w:eastAsia="en-PH"/>
              </w:rPr>
              <w:t>Ending Balance</w:t>
            </w:r>
          </w:p>
        </w:tc>
      </w:tr>
      <w:tr w:rsidR="003803AD" w:rsidRPr="00824BC0" w14:paraId="0445A143" w14:textId="77777777" w:rsidTr="00BB15B2">
        <w:trPr>
          <w:trHeight w:val="30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0B33E8EB" w14:textId="77777777" w:rsidR="003803AD" w:rsidRPr="00824BC0" w:rsidRDefault="003803AD" w:rsidP="003803AD">
            <w:pPr>
              <w:spacing w:after="0" w:line="240" w:lineRule="auto"/>
              <w:jc w:val="center"/>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2021</w:t>
            </w:r>
          </w:p>
        </w:tc>
        <w:tc>
          <w:tcPr>
            <w:tcW w:w="1268" w:type="dxa"/>
            <w:tcBorders>
              <w:top w:val="nil"/>
              <w:left w:val="nil"/>
              <w:bottom w:val="single" w:sz="4" w:space="0" w:color="auto"/>
              <w:right w:val="single" w:sz="4" w:space="0" w:color="auto"/>
            </w:tcBorders>
            <w:shd w:val="clear" w:color="auto" w:fill="auto"/>
            <w:vAlign w:val="center"/>
            <w:hideMark/>
          </w:tcPr>
          <w:p w14:paraId="617B2F79" w14:textId="77777777" w:rsidR="003803AD" w:rsidRPr="00824BC0" w:rsidRDefault="003803AD" w:rsidP="003803AD">
            <w:pPr>
              <w:spacing w:after="0" w:line="240" w:lineRule="auto"/>
              <w:jc w:val="center"/>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w:t>
            </w:r>
          </w:p>
        </w:tc>
        <w:tc>
          <w:tcPr>
            <w:tcW w:w="1610" w:type="dxa"/>
            <w:tcBorders>
              <w:top w:val="nil"/>
              <w:left w:val="nil"/>
              <w:bottom w:val="single" w:sz="4" w:space="0" w:color="auto"/>
              <w:right w:val="single" w:sz="4" w:space="0" w:color="auto"/>
            </w:tcBorders>
            <w:shd w:val="clear" w:color="auto" w:fill="auto"/>
            <w:vAlign w:val="center"/>
            <w:hideMark/>
          </w:tcPr>
          <w:p w14:paraId="4DD92653" w14:textId="77777777" w:rsidR="003803AD" w:rsidRPr="00824BC0" w:rsidRDefault="003803AD" w:rsidP="003803AD">
            <w:pPr>
              <w:spacing w:after="0" w:line="240" w:lineRule="auto"/>
              <w:jc w:val="center"/>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w:t>
            </w:r>
          </w:p>
        </w:tc>
        <w:tc>
          <w:tcPr>
            <w:tcW w:w="1630" w:type="dxa"/>
            <w:tcBorders>
              <w:top w:val="nil"/>
              <w:left w:val="nil"/>
              <w:bottom w:val="single" w:sz="4" w:space="0" w:color="auto"/>
              <w:right w:val="single" w:sz="4" w:space="0" w:color="auto"/>
            </w:tcBorders>
            <w:shd w:val="clear" w:color="auto" w:fill="auto"/>
            <w:vAlign w:val="center"/>
            <w:hideMark/>
          </w:tcPr>
          <w:p w14:paraId="1EA0112D" w14:textId="77777777" w:rsidR="003803AD" w:rsidRPr="00824BC0" w:rsidRDefault="003803AD" w:rsidP="003803AD">
            <w:pPr>
              <w:spacing w:after="0" w:line="240" w:lineRule="auto"/>
              <w:jc w:val="center"/>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w:t>
            </w:r>
          </w:p>
        </w:tc>
        <w:tc>
          <w:tcPr>
            <w:tcW w:w="1620" w:type="dxa"/>
            <w:tcBorders>
              <w:top w:val="nil"/>
              <w:left w:val="nil"/>
              <w:bottom w:val="single" w:sz="4" w:space="0" w:color="auto"/>
              <w:right w:val="single" w:sz="4" w:space="0" w:color="auto"/>
            </w:tcBorders>
            <w:shd w:val="clear" w:color="auto" w:fill="auto"/>
            <w:vAlign w:val="center"/>
            <w:hideMark/>
          </w:tcPr>
          <w:p w14:paraId="7DBFA8B6" w14:textId="77777777" w:rsidR="003803AD" w:rsidRPr="00824BC0" w:rsidRDefault="003803AD" w:rsidP="003803AD">
            <w:pPr>
              <w:spacing w:after="0" w:line="240" w:lineRule="auto"/>
              <w:jc w:val="center"/>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w:t>
            </w:r>
          </w:p>
        </w:tc>
        <w:tc>
          <w:tcPr>
            <w:tcW w:w="1260" w:type="dxa"/>
            <w:tcBorders>
              <w:top w:val="nil"/>
              <w:left w:val="nil"/>
              <w:bottom w:val="single" w:sz="4" w:space="0" w:color="auto"/>
              <w:right w:val="single" w:sz="4" w:space="0" w:color="auto"/>
            </w:tcBorders>
            <w:shd w:val="clear" w:color="auto" w:fill="auto"/>
            <w:vAlign w:val="center"/>
            <w:hideMark/>
          </w:tcPr>
          <w:p w14:paraId="3CB84541" w14:textId="77777777" w:rsidR="003803AD" w:rsidRPr="00824BC0" w:rsidRDefault="003803AD" w:rsidP="003803AD">
            <w:pPr>
              <w:spacing w:after="0" w:line="240" w:lineRule="auto"/>
              <w:jc w:val="center"/>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w:t>
            </w:r>
          </w:p>
        </w:tc>
      </w:tr>
      <w:tr w:rsidR="003803AD" w:rsidRPr="00824BC0" w14:paraId="6162C9AC" w14:textId="77777777" w:rsidTr="00BB15B2">
        <w:trPr>
          <w:trHeight w:val="300"/>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7E484839" w14:textId="1B25E9A0" w:rsidR="003803AD" w:rsidRPr="00824BC0" w:rsidRDefault="003803AD" w:rsidP="003803AD">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January </w:t>
            </w:r>
          </w:p>
        </w:tc>
        <w:tc>
          <w:tcPr>
            <w:tcW w:w="1268" w:type="dxa"/>
            <w:tcBorders>
              <w:top w:val="nil"/>
              <w:left w:val="nil"/>
              <w:bottom w:val="single" w:sz="4" w:space="0" w:color="auto"/>
              <w:right w:val="single" w:sz="4" w:space="0" w:color="auto"/>
            </w:tcBorders>
            <w:shd w:val="clear" w:color="auto" w:fill="auto"/>
            <w:noWrap/>
            <w:vAlign w:val="bottom"/>
            <w:hideMark/>
          </w:tcPr>
          <w:p w14:paraId="3607BE73" w14:textId="0F558EC4"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w:t>
            </w:r>
            <w:r w:rsidR="00BB15B2" w:rsidRPr="00824BC0">
              <w:rPr>
                <w:rFonts w:ascii="Times New Roman" w:eastAsia="Times New Roman" w:hAnsi="Times New Roman" w:cs="Times New Roman"/>
                <w:color w:val="000000"/>
                <w:sz w:val="24"/>
                <w:szCs w:val="24"/>
                <w:lang w:eastAsia="en-PH"/>
              </w:rPr>
              <w:t xml:space="preserve">  </w:t>
            </w:r>
            <w:r w:rsidRPr="00824BC0">
              <w:rPr>
                <w:rFonts w:ascii="Times New Roman" w:eastAsia="Times New Roman" w:hAnsi="Times New Roman" w:cs="Times New Roman"/>
                <w:color w:val="000000"/>
                <w:sz w:val="24"/>
                <w:szCs w:val="24"/>
                <w:lang w:eastAsia="en-PH"/>
              </w:rPr>
              <w:t xml:space="preserve">  0.00</w:t>
            </w:r>
          </w:p>
        </w:tc>
        <w:tc>
          <w:tcPr>
            <w:tcW w:w="1610" w:type="dxa"/>
            <w:tcBorders>
              <w:top w:val="nil"/>
              <w:left w:val="nil"/>
              <w:bottom w:val="single" w:sz="4" w:space="0" w:color="auto"/>
              <w:right w:val="single" w:sz="4" w:space="0" w:color="auto"/>
            </w:tcBorders>
            <w:shd w:val="clear" w:color="auto" w:fill="auto"/>
            <w:noWrap/>
            <w:vAlign w:val="bottom"/>
            <w:hideMark/>
          </w:tcPr>
          <w:p w14:paraId="62221279" w14:textId="79EB3108"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₱1,523,839.45 </w:t>
            </w:r>
          </w:p>
        </w:tc>
        <w:tc>
          <w:tcPr>
            <w:tcW w:w="1630" w:type="dxa"/>
            <w:tcBorders>
              <w:top w:val="nil"/>
              <w:left w:val="nil"/>
              <w:bottom w:val="single" w:sz="4" w:space="0" w:color="auto"/>
              <w:right w:val="single" w:sz="4" w:space="0" w:color="auto"/>
            </w:tcBorders>
            <w:shd w:val="clear" w:color="auto" w:fill="auto"/>
            <w:noWrap/>
            <w:vAlign w:val="bottom"/>
            <w:hideMark/>
          </w:tcPr>
          <w:p w14:paraId="502B9DD9" w14:textId="72C2509C"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₱1,523,839.45 </w:t>
            </w:r>
          </w:p>
        </w:tc>
        <w:tc>
          <w:tcPr>
            <w:tcW w:w="1620" w:type="dxa"/>
            <w:tcBorders>
              <w:top w:val="nil"/>
              <w:left w:val="nil"/>
              <w:bottom w:val="single" w:sz="4" w:space="0" w:color="auto"/>
              <w:right w:val="single" w:sz="4" w:space="0" w:color="auto"/>
            </w:tcBorders>
            <w:shd w:val="clear" w:color="auto" w:fill="auto"/>
            <w:noWrap/>
            <w:vAlign w:val="bottom"/>
            <w:hideMark/>
          </w:tcPr>
          <w:p w14:paraId="34536B45" w14:textId="19E4DA20"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₱1,515,829.00 </w:t>
            </w:r>
          </w:p>
        </w:tc>
        <w:tc>
          <w:tcPr>
            <w:tcW w:w="1260" w:type="dxa"/>
            <w:tcBorders>
              <w:top w:val="nil"/>
              <w:left w:val="nil"/>
              <w:bottom w:val="single" w:sz="4" w:space="0" w:color="auto"/>
              <w:right w:val="single" w:sz="4" w:space="0" w:color="auto"/>
            </w:tcBorders>
            <w:shd w:val="clear" w:color="auto" w:fill="auto"/>
            <w:noWrap/>
            <w:vAlign w:val="bottom"/>
            <w:hideMark/>
          </w:tcPr>
          <w:p w14:paraId="7F46FCF2" w14:textId="1671F031"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w:t>
            </w:r>
            <w:r w:rsidR="00BB15B2" w:rsidRPr="00824BC0">
              <w:rPr>
                <w:rFonts w:ascii="Times New Roman" w:eastAsia="Times New Roman" w:hAnsi="Times New Roman" w:cs="Times New Roman"/>
                <w:color w:val="000000"/>
                <w:sz w:val="24"/>
                <w:szCs w:val="24"/>
                <w:lang w:eastAsia="en-PH"/>
              </w:rPr>
              <w:t xml:space="preserve"> </w:t>
            </w:r>
            <w:r w:rsidRPr="00824BC0">
              <w:rPr>
                <w:rFonts w:ascii="Times New Roman" w:eastAsia="Times New Roman" w:hAnsi="Times New Roman" w:cs="Times New Roman"/>
                <w:color w:val="000000"/>
                <w:sz w:val="24"/>
                <w:szCs w:val="24"/>
                <w:lang w:eastAsia="en-PH"/>
              </w:rPr>
              <w:t xml:space="preserve">8,010.45 </w:t>
            </w:r>
          </w:p>
        </w:tc>
      </w:tr>
      <w:tr w:rsidR="003803AD" w:rsidRPr="00824BC0" w14:paraId="76152AA2" w14:textId="77777777" w:rsidTr="00BB15B2">
        <w:trPr>
          <w:trHeight w:val="300"/>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25DFABC5" w14:textId="788E92C6" w:rsidR="003803AD" w:rsidRPr="00824BC0" w:rsidRDefault="003803AD" w:rsidP="003803AD">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February </w:t>
            </w:r>
          </w:p>
        </w:tc>
        <w:tc>
          <w:tcPr>
            <w:tcW w:w="1268" w:type="dxa"/>
            <w:tcBorders>
              <w:top w:val="nil"/>
              <w:left w:val="nil"/>
              <w:bottom w:val="single" w:sz="4" w:space="0" w:color="auto"/>
              <w:right w:val="single" w:sz="4" w:space="0" w:color="auto"/>
            </w:tcBorders>
            <w:shd w:val="clear" w:color="auto" w:fill="auto"/>
            <w:noWrap/>
            <w:vAlign w:val="bottom"/>
            <w:hideMark/>
          </w:tcPr>
          <w:p w14:paraId="10CD67B5" w14:textId="2C1846AB"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8,010.45 </w:t>
            </w:r>
          </w:p>
        </w:tc>
        <w:tc>
          <w:tcPr>
            <w:tcW w:w="1610" w:type="dxa"/>
            <w:tcBorders>
              <w:top w:val="nil"/>
              <w:left w:val="nil"/>
              <w:bottom w:val="single" w:sz="4" w:space="0" w:color="auto"/>
              <w:right w:val="single" w:sz="4" w:space="0" w:color="auto"/>
            </w:tcBorders>
            <w:shd w:val="clear" w:color="auto" w:fill="auto"/>
            <w:noWrap/>
            <w:vAlign w:val="bottom"/>
            <w:hideMark/>
          </w:tcPr>
          <w:p w14:paraId="331034A4" w14:textId="3A5BD0CF"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1,521,831.20 </w:t>
            </w:r>
          </w:p>
        </w:tc>
        <w:tc>
          <w:tcPr>
            <w:tcW w:w="1630" w:type="dxa"/>
            <w:tcBorders>
              <w:top w:val="nil"/>
              <w:left w:val="nil"/>
              <w:bottom w:val="single" w:sz="4" w:space="0" w:color="auto"/>
              <w:right w:val="single" w:sz="4" w:space="0" w:color="auto"/>
            </w:tcBorders>
            <w:shd w:val="clear" w:color="auto" w:fill="auto"/>
            <w:noWrap/>
            <w:vAlign w:val="bottom"/>
            <w:hideMark/>
          </w:tcPr>
          <w:p w14:paraId="0FC03FAA" w14:textId="6F666200"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1,529,841.65 </w:t>
            </w:r>
          </w:p>
        </w:tc>
        <w:tc>
          <w:tcPr>
            <w:tcW w:w="1620" w:type="dxa"/>
            <w:tcBorders>
              <w:top w:val="nil"/>
              <w:left w:val="nil"/>
              <w:bottom w:val="single" w:sz="4" w:space="0" w:color="auto"/>
              <w:right w:val="single" w:sz="4" w:space="0" w:color="auto"/>
            </w:tcBorders>
            <w:shd w:val="clear" w:color="auto" w:fill="auto"/>
            <w:noWrap/>
            <w:vAlign w:val="bottom"/>
            <w:hideMark/>
          </w:tcPr>
          <w:p w14:paraId="5D570631" w14:textId="45CA7ACF"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1,522,997.07 </w:t>
            </w:r>
          </w:p>
        </w:tc>
        <w:tc>
          <w:tcPr>
            <w:tcW w:w="1260" w:type="dxa"/>
            <w:tcBorders>
              <w:top w:val="nil"/>
              <w:left w:val="nil"/>
              <w:bottom w:val="single" w:sz="4" w:space="0" w:color="auto"/>
              <w:right w:val="single" w:sz="4" w:space="0" w:color="auto"/>
            </w:tcBorders>
            <w:shd w:val="clear" w:color="auto" w:fill="auto"/>
            <w:noWrap/>
            <w:vAlign w:val="bottom"/>
            <w:hideMark/>
          </w:tcPr>
          <w:p w14:paraId="6E9570CC" w14:textId="03D624C1"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6,844.58 </w:t>
            </w:r>
          </w:p>
        </w:tc>
      </w:tr>
      <w:tr w:rsidR="003803AD" w:rsidRPr="00824BC0" w14:paraId="2D46DD54" w14:textId="77777777" w:rsidTr="00BB15B2">
        <w:trPr>
          <w:trHeight w:val="300"/>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251171AE" w14:textId="494CB384" w:rsidR="003803AD" w:rsidRPr="00824BC0" w:rsidRDefault="003803AD" w:rsidP="003803AD">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March </w:t>
            </w:r>
          </w:p>
        </w:tc>
        <w:tc>
          <w:tcPr>
            <w:tcW w:w="1268" w:type="dxa"/>
            <w:tcBorders>
              <w:top w:val="nil"/>
              <w:left w:val="nil"/>
              <w:bottom w:val="single" w:sz="4" w:space="0" w:color="auto"/>
              <w:right w:val="single" w:sz="4" w:space="0" w:color="auto"/>
            </w:tcBorders>
            <w:shd w:val="clear" w:color="auto" w:fill="auto"/>
            <w:noWrap/>
            <w:vAlign w:val="bottom"/>
            <w:hideMark/>
          </w:tcPr>
          <w:p w14:paraId="2942D82F" w14:textId="1E8F99A9"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6,844.58 </w:t>
            </w:r>
          </w:p>
        </w:tc>
        <w:tc>
          <w:tcPr>
            <w:tcW w:w="1610" w:type="dxa"/>
            <w:tcBorders>
              <w:top w:val="nil"/>
              <w:left w:val="nil"/>
              <w:bottom w:val="single" w:sz="4" w:space="0" w:color="auto"/>
              <w:right w:val="single" w:sz="4" w:space="0" w:color="auto"/>
            </w:tcBorders>
            <w:shd w:val="clear" w:color="auto" w:fill="auto"/>
            <w:noWrap/>
            <w:vAlign w:val="bottom"/>
            <w:hideMark/>
          </w:tcPr>
          <w:p w14:paraId="046C50DB" w14:textId="06069F8C"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1,519,925.57 </w:t>
            </w:r>
          </w:p>
        </w:tc>
        <w:tc>
          <w:tcPr>
            <w:tcW w:w="1630" w:type="dxa"/>
            <w:tcBorders>
              <w:top w:val="nil"/>
              <w:left w:val="nil"/>
              <w:bottom w:val="single" w:sz="4" w:space="0" w:color="auto"/>
              <w:right w:val="single" w:sz="4" w:space="0" w:color="auto"/>
            </w:tcBorders>
            <w:shd w:val="clear" w:color="auto" w:fill="auto"/>
            <w:noWrap/>
            <w:vAlign w:val="bottom"/>
            <w:hideMark/>
          </w:tcPr>
          <w:p w14:paraId="4A668380" w14:textId="47236559"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1,526,770.15 </w:t>
            </w:r>
          </w:p>
        </w:tc>
        <w:tc>
          <w:tcPr>
            <w:tcW w:w="1620" w:type="dxa"/>
            <w:tcBorders>
              <w:top w:val="nil"/>
              <w:left w:val="nil"/>
              <w:bottom w:val="single" w:sz="4" w:space="0" w:color="auto"/>
              <w:right w:val="single" w:sz="4" w:space="0" w:color="auto"/>
            </w:tcBorders>
            <w:shd w:val="clear" w:color="auto" w:fill="auto"/>
            <w:noWrap/>
            <w:vAlign w:val="bottom"/>
            <w:hideMark/>
          </w:tcPr>
          <w:p w14:paraId="59CFAA34" w14:textId="33F3D69B"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1,520,512.53 </w:t>
            </w:r>
          </w:p>
        </w:tc>
        <w:tc>
          <w:tcPr>
            <w:tcW w:w="1260" w:type="dxa"/>
            <w:tcBorders>
              <w:top w:val="nil"/>
              <w:left w:val="nil"/>
              <w:bottom w:val="single" w:sz="4" w:space="0" w:color="auto"/>
              <w:right w:val="single" w:sz="4" w:space="0" w:color="auto"/>
            </w:tcBorders>
            <w:shd w:val="clear" w:color="auto" w:fill="auto"/>
            <w:noWrap/>
            <w:vAlign w:val="bottom"/>
            <w:hideMark/>
          </w:tcPr>
          <w:p w14:paraId="0EC16B87" w14:textId="2C7CD8E5"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6,257.62 </w:t>
            </w:r>
          </w:p>
        </w:tc>
      </w:tr>
      <w:tr w:rsidR="003803AD" w:rsidRPr="00824BC0" w14:paraId="5AE8AB09" w14:textId="77777777" w:rsidTr="00BB15B2">
        <w:trPr>
          <w:trHeight w:val="300"/>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12A5BDB4" w14:textId="4C9981D6" w:rsidR="003803AD" w:rsidRPr="00824BC0" w:rsidRDefault="003803AD" w:rsidP="003803AD">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lastRenderedPageBreak/>
              <w:t xml:space="preserve">April </w:t>
            </w:r>
          </w:p>
        </w:tc>
        <w:tc>
          <w:tcPr>
            <w:tcW w:w="1268" w:type="dxa"/>
            <w:tcBorders>
              <w:top w:val="nil"/>
              <w:left w:val="nil"/>
              <w:bottom w:val="single" w:sz="4" w:space="0" w:color="auto"/>
              <w:right w:val="single" w:sz="4" w:space="0" w:color="auto"/>
            </w:tcBorders>
            <w:shd w:val="clear" w:color="auto" w:fill="auto"/>
            <w:noWrap/>
            <w:vAlign w:val="bottom"/>
            <w:hideMark/>
          </w:tcPr>
          <w:p w14:paraId="7B6B623A" w14:textId="3816D4DF"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6,257.62 </w:t>
            </w:r>
          </w:p>
        </w:tc>
        <w:tc>
          <w:tcPr>
            <w:tcW w:w="1610" w:type="dxa"/>
            <w:tcBorders>
              <w:top w:val="nil"/>
              <w:left w:val="nil"/>
              <w:bottom w:val="single" w:sz="4" w:space="0" w:color="auto"/>
              <w:right w:val="single" w:sz="4" w:space="0" w:color="auto"/>
            </w:tcBorders>
            <w:shd w:val="clear" w:color="auto" w:fill="auto"/>
            <w:noWrap/>
            <w:vAlign w:val="bottom"/>
            <w:hideMark/>
          </w:tcPr>
          <w:p w14:paraId="61A441FB" w14:textId="5EF13897"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1,496,606.52 </w:t>
            </w:r>
          </w:p>
        </w:tc>
        <w:tc>
          <w:tcPr>
            <w:tcW w:w="1630" w:type="dxa"/>
            <w:tcBorders>
              <w:top w:val="nil"/>
              <w:left w:val="nil"/>
              <w:bottom w:val="single" w:sz="4" w:space="0" w:color="auto"/>
              <w:right w:val="single" w:sz="4" w:space="0" w:color="auto"/>
            </w:tcBorders>
            <w:shd w:val="clear" w:color="auto" w:fill="auto"/>
            <w:noWrap/>
            <w:vAlign w:val="bottom"/>
            <w:hideMark/>
          </w:tcPr>
          <w:p w14:paraId="75841E36" w14:textId="6714E0EE"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1,502,864.14 </w:t>
            </w:r>
          </w:p>
        </w:tc>
        <w:tc>
          <w:tcPr>
            <w:tcW w:w="1620" w:type="dxa"/>
            <w:tcBorders>
              <w:top w:val="nil"/>
              <w:left w:val="nil"/>
              <w:bottom w:val="single" w:sz="4" w:space="0" w:color="auto"/>
              <w:right w:val="single" w:sz="4" w:space="0" w:color="auto"/>
            </w:tcBorders>
            <w:shd w:val="clear" w:color="auto" w:fill="auto"/>
            <w:noWrap/>
            <w:vAlign w:val="bottom"/>
            <w:hideMark/>
          </w:tcPr>
          <w:p w14:paraId="6887EA43" w14:textId="2705EFC4"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1,499,650.13 </w:t>
            </w:r>
          </w:p>
        </w:tc>
        <w:tc>
          <w:tcPr>
            <w:tcW w:w="1260" w:type="dxa"/>
            <w:tcBorders>
              <w:top w:val="nil"/>
              <w:left w:val="nil"/>
              <w:bottom w:val="single" w:sz="4" w:space="0" w:color="auto"/>
              <w:right w:val="single" w:sz="4" w:space="0" w:color="auto"/>
            </w:tcBorders>
            <w:shd w:val="clear" w:color="auto" w:fill="auto"/>
            <w:noWrap/>
            <w:vAlign w:val="bottom"/>
            <w:hideMark/>
          </w:tcPr>
          <w:p w14:paraId="4132F4DD" w14:textId="29CBFBDC"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3,214.01 </w:t>
            </w:r>
          </w:p>
        </w:tc>
      </w:tr>
      <w:tr w:rsidR="003803AD" w:rsidRPr="00824BC0" w14:paraId="206247BB" w14:textId="77777777" w:rsidTr="00BB15B2">
        <w:trPr>
          <w:trHeight w:val="300"/>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2AF64F90" w14:textId="1189EF9B" w:rsidR="003803AD" w:rsidRPr="00824BC0" w:rsidRDefault="003803AD" w:rsidP="003803AD">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May </w:t>
            </w:r>
          </w:p>
        </w:tc>
        <w:tc>
          <w:tcPr>
            <w:tcW w:w="1268" w:type="dxa"/>
            <w:tcBorders>
              <w:top w:val="nil"/>
              <w:left w:val="nil"/>
              <w:bottom w:val="single" w:sz="4" w:space="0" w:color="auto"/>
              <w:right w:val="single" w:sz="4" w:space="0" w:color="auto"/>
            </w:tcBorders>
            <w:shd w:val="clear" w:color="auto" w:fill="auto"/>
            <w:noWrap/>
            <w:vAlign w:val="bottom"/>
            <w:hideMark/>
          </w:tcPr>
          <w:p w14:paraId="4657123E" w14:textId="73B9C820"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3,214.01 </w:t>
            </w:r>
          </w:p>
        </w:tc>
        <w:tc>
          <w:tcPr>
            <w:tcW w:w="1610" w:type="dxa"/>
            <w:tcBorders>
              <w:top w:val="nil"/>
              <w:left w:val="nil"/>
              <w:bottom w:val="single" w:sz="4" w:space="0" w:color="auto"/>
              <w:right w:val="single" w:sz="4" w:space="0" w:color="auto"/>
            </w:tcBorders>
            <w:shd w:val="clear" w:color="auto" w:fill="auto"/>
            <w:noWrap/>
            <w:vAlign w:val="bottom"/>
            <w:hideMark/>
          </w:tcPr>
          <w:p w14:paraId="1563A094" w14:textId="393F6405"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1,517,258.29 </w:t>
            </w:r>
          </w:p>
        </w:tc>
        <w:tc>
          <w:tcPr>
            <w:tcW w:w="1630" w:type="dxa"/>
            <w:tcBorders>
              <w:top w:val="nil"/>
              <w:left w:val="nil"/>
              <w:bottom w:val="single" w:sz="4" w:space="0" w:color="auto"/>
              <w:right w:val="single" w:sz="4" w:space="0" w:color="auto"/>
            </w:tcBorders>
            <w:shd w:val="clear" w:color="auto" w:fill="auto"/>
            <w:noWrap/>
            <w:vAlign w:val="bottom"/>
            <w:hideMark/>
          </w:tcPr>
          <w:p w14:paraId="2A140F41" w14:textId="4FECD8F9"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1,520,472.30 </w:t>
            </w:r>
          </w:p>
        </w:tc>
        <w:tc>
          <w:tcPr>
            <w:tcW w:w="1620" w:type="dxa"/>
            <w:tcBorders>
              <w:top w:val="nil"/>
              <w:left w:val="nil"/>
              <w:bottom w:val="single" w:sz="4" w:space="0" w:color="auto"/>
              <w:right w:val="single" w:sz="4" w:space="0" w:color="auto"/>
            </w:tcBorders>
            <w:shd w:val="clear" w:color="auto" w:fill="auto"/>
            <w:noWrap/>
            <w:vAlign w:val="bottom"/>
            <w:hideMark/>
          </w:tcPr>
          <w:p w14:paraId="5E9A0103" w14:textId="4C4CBB66"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1,517,343.49 </w:t>
            </w:r>
          </w:p>
        </w:tc>
        <w:tc>
          <w:tcPr>
            <w:tcW w:w="1260" w:type="dxa"/>
            <w:tcBorders>
              <w:top w:val="nil"/>
              <w:left w:val="nil"/>
              <w:bottom w:val="single" w:sz="4" w:space="0" w:color="auto"/>
              <w:right w:val="single" w:sz="4" w:space="0" w:color="auto"/>
            </w:tcBorders>
            <w:shd w:val="clear" w:color="auto" w:fill="auto"/>
            <w:noWrap/>
            <w:vAlign w:val="bottom"/>
            <w:hideMark/>
          </w:tcPr>
          <w:p w14:paraId="5525A61B" w14:textId="36BE03F5"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3,128.81 </w:t>
            </w:r>
          </w:p>
        </w:tc>
      </w:tr>
      <w:tr w:rsidR="003803AD" w:rsidRPr="00824BC0" w14:paraId="458B3CE1" w14:textId="77777777" w:rsidTr="00BB15B2">
        <w:trPr>
          <w:trHeight w:val="300"/>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75669650" w14:textId="54D0157C" w:rsidR="003803AD" w:rsidRPr="00824BC0" w:rsidRDefault="003803AD" w:rsidP="003803AD">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June </w:t>
            </w:r>
          </w:p>
        </w:tc>
        <w:tc>
          <w:tcPr>
            <w:tcW w:w="1268" w:type="dxa"/>
            <w:tcBorders>
              <w:top w:val="nil"/>
              <w:left w:val="nil"/>
              <w:bottom w:val="single" w:sz="4" w:space="0" w:color="auto"/>
              <w:right w:val="single" w:sz="4" w:space="0" w:color="auto"/>
            </w:tcBorders>
            <w:shd w:val="clear" w:color="auto" w:fill="auto"/>
            <w:noWrap/>
            <w:vAlign w:val="bottom"/>
            <w:hideMark/>
          </w:tcPr>
          <w:p w14:paraId="7BA182E7" w14:textId="03701663"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3,128.81 </w:t>
            </w:r>
          </w:p>
        </w:tc>
        <w:tc>
          <w:tcPr>
            <w:tcW w:w="1610" w:type="dxa"/>
            <w:tcBorders>
              <w:top w:val="nil"/>
              <w:left w:val="nil"/>
              <w:bottom w:val="single" w:sz="4" w:space="0" w:color="auto"/>
              <w:right w:val="single" w:sz="4" w:space="0" w:color="auto"/>
            </w:tcBorders>
            <w:shd w:val="clear" w:color="auto" w:fill="auto"/>
            <w:noWrap/>
            <w:vAlign w:val="bottom"/>
            <w:hideMark/>
          </w:tcPr>
          <w:p w14:paraId="7E27E441" w14:textId="7E17973F"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1,456,969.95 </w:t>
            </w:r>
          </w:p>
        </w:tc>
        <w:tc>
          <w:tcPr>
            <w:tcW w:w="1630" w:type="dxa"/>
            <w:tcBorders>
              <w:top w:val="nil"/>
              <w:left w:val="nil"/>
              <w:bottom w:val="single" w:sz="4" w:space="0" w:color="auto"/>
              <w:right w:val="single" w:sz="4" w:space="0" w:color="auto"/>
            </w:tcBorders>
            <w:shd w:val="clear" w:color="auto" w:fill="auto"/>
            <w:noWrap/>
            <w:vAlign w:val="bottom"/>
            <w:hideMark/>
          </w:tcPr>
          <w:p w14:paraId="5B6C9A0E" w14:textId="6A12506F"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1,460,098.76 </w:t>
            </w:r>
          </w:p>
        </w:tc>
        <w:tc>
          <w:tcPr>
            <w:tcW w:w="1620" w:type="dxa"/>
            <w:tcBorders>
              <w:top w:val="nil"/>
              <w:left w:val="nil"/>
              <w:bottom w:val="single" w:sz="4" w:space="0" w:color="auto"/>
              <w:right w:val="single" w:sz="4" w:space="0" w:color="auto"/>
            </w:tcBorders>
            <w:shd w:val="clear" w:color="auto" w:fill="auto"/>
            <w:noWrap/>
            <w:vAlign w:val="bottom"/>
            <w:hideMark/>
          </w:tcPr>
          <w:p w14:paraId="705F0272" w14:textId="5BA4989A"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1,452,117.38 </w:t>
            </w:r>
          </w:p>
        </w:tc>
        <w:tc>
          <w:tcPr>
            <w:tcW w:w="1260" w:type="dxa"/>
            <w:tcBorders>
              <w:top w:val="nil"/>
              <w:left w:val="nil"/>
              <w:bottom w:val="single" w:sz="4" w:space="0" w:color="auto"/>
              <w:right w:val="single" w:sz="4" w:space="0" w:color="auto"/>
            </w:tcBorders>
            <w:shd w:val="clear" w:color="auto" w:fill="auto"/>
            <w:noWrap/>
            <w:vAlign w:val="bottom"/>
            <w:hideMark/>
          </w:tcPr>
          <w:p w14:paraId="07EDB6D2" w14:textId="547F2376"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7,981.38 </w:t>
            </w:r>
          </w:p>
        </w:tc>
      </w:tr>
      <w:tr w:rsidR="003803AD" w:rsidRPr="00824BC0" w14:paraId="619E4773" w14:textId="77777777" w:rsidTr="00BB15B2">
        <w:trPr>
          <w:trHeight w:val="300"/>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09AB4C1F" w14:textId="2C8045B4" w:rsidR="003803AD" w:rsidRPr="00824BC0" w:rsidRDefault="003803AD" w:rsidP="003803AD">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July </w:t>
            </w:r>
          </w:p>
        </w:tc>
        <w:tc>
          <w:tcPr>
            <w:tcW w:w="1268" w:type="dxa"/>
            <w:tcBorders>
              <w:top w:val="nil"/>
              <w:left w:val="nil"/>
              <w:bottom w:val="single" w:sz="4" w:space="0" w:color="auto"/>
              <w:right w:val="single" w:sz="4" w:space="0" w:color="auto"/>
            </w:tcBorders>
            <w:shd w:val="clear" w:color="auto" w:fill="auto"/>
            <w:noWrap/>
            <w:vAlign w:val="bottom"/>
            <w:hideMark/>
          </w:tcPr>
          <w:p w14:paraId="0B940693" w14:textId="4FFECA14"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7,981.38 </w:t>
            </w:r>
          </w:p>
        </w:tc>
        <w:tc>
          <w:tcPr>
            <w:tcW w:w="1610" w:type="dxa"/>
            <w:tcBorders>
              <w:top w:val="nil"/>
              <w:left w:val="nil"/>
              <w:bottom w:val="single" w:sz="4" w:space="0" w:color="auto"/>
              <w:right w:val="single" w:sz="4" w:space="0" w:color="auto"/>
            </w:tcBorders>
            <w:shd w:val="clear" w:color="auto" w:fill="auto"/>
            <w:noWrap/>
            <w:vAlign w:val="bottom"/>
            <w:hideMark/>
          </w:tcPr>
          <w:p w14:paraId="48CCE98D" w14:textId="7C9B4A3D"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1,492,405.49 </w:t>
            </w:r>
          </w:p>
        </w:tc>
        <w:tc>
          <w:tcPr>
            <w:tcW w:w="1630" w:type="dxa"/>
            <w:tcBorders>
              <w:top w:val="nil"/>
              <w:left w:val="nil"/>
              <w:bottom w:val="single" w:sz="4" w:space="0" w:color="auto"/>
              <w:right w:val="single" w:sz="4" w:space="0" w:color="auto"/>
            </w:tcBorders>
            <w:shd w:val="clear" w:color="auto" w:fill="auto"/>
            <w:noWrap/>
            <w:vAlign w:val="bottom"/>
            <w:hideMark/>
          </w:tcPr>
          <w:p w14:paraId="7828B03E" w14:textId="6C7BF25B"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1,500,386.87 </w:t>
            </w:r>
          </w:p>
        </w:tc>
        <w:tc>
          <w:tcPr>
            <w:tcW w:w="1620" w:type="dxa"/>
            <w:tcBorders>
              <w:top w:val="nil"/>
              <w:left w:val="nil"/>
              <w:bottom w:val="single" w:sz="4" w:space="0" w:color="auto"/>
              <w:right w:val="single" w:sz="4" w:space="0" w:color="auto"/>
            </w:tcBorders>
            <w:shd w:val="clear" w:color="auto" w:fill="auto"/>
            <w:noWrap/>
            <w:vAlign w:val="bottom"/>
            <w:hideMark/>
          </w:tcPr>
          <w:p w14:paraId="4BFE3B8D" w14:textId="6A0D71FC"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1,496,788.13 </w:t>
            </w:r>
          </w:p>
        </w:tc>
        <w:tc>
          <w:tcPr>
            <w:tcW w:w="1260" w:type="dxa"/>
            <w:tcBorders>
              <w:top w:val="nil"/>
              <w:left w:val="nil"/>
              <w:bottom w:val="single" w:sz="4" w:space="0" w:color="auto"/>
              <w:right w:val="single" w:sz="4" w:space="0" w:color="auto"/>
            </w:tcBorders>
            <w:shd w:val="clear" w:color="auto" w:fill="auto"/>
            <w:noWrap/>
            <w:vAlign w:val="bottom"/>
            <w:hideMark/>
          </w:tcPr>
          <w:p w14:paraId="733F61F7" w14:textId="20DAC42A"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3,598.74 </w:t>
            </w:r>
          </w:p>
        </w:tc>
      </w:tr>
      <w:tr w:rsidR="003803AD" w:rsidRPr="00824BC0" w14:paraId="68F286C7" w14:textId="77777777" w:rsidTr="00BB15B2">
        <w:trPr>
          <w:trHeight w:val="300"/>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1027F766" w14:textId="03A43D27" w:rsidR="003803AD" w:rsidRPr="00824BC0" w:rsidRDefault="003803AD" w:rsidP="003803AD">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August </w:t>
            </w:r>
          </w:p>
        </w:tc>
        <w:tc>
          <w:tcPr>
            <w:tcW w:w="1268" w:type="dxa"/>
            <w:tcBorders>
              <w:top w:val="nil"/>
              <w:left w:val="nil"/>
              <w:bottom w:val="single" w:sz="4" w:space="0" w:color="auto"/>
              <w:right w:val="single" w:sz="4" w:space="0" w:color="auto"/>
            </w:tcBorders>
            <w:shd w:val="clear" w:color="auto" w:fill="auto"/>
            <w:noWrap/>
            <w:vAlign w:val="bottom"/>
            <w:hideMark/>
          </w:tcPr>
          <w:p w14:paraId="684AB7C1" w14:textId="4ECAB5FE"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3,598.74 </w:t>
            </w:r>
          </w:p>
        </w:tc>
        <w:tc>
          <w:tcPr>
            <w:tcW w:w="1610" w:type="dxa"/>
            <w:tcBorders>
              <w:top w:val="nil"/>
              <w:left w:val="nil"/>
              <w:bottom w:val="single" w:sz="4" w:space="0" w:color="auto"/>
              <w:right w:val="single" w:sz="4" w:space="0" w:color="auto"/>
            </w:tcBorders>
            <w:shd w:val="clear" w:color="auto" w:fill="auto"/>
            <w:noWrap/>
            <w:vAlign w:val="bottom"/>
            <w:hideMark/>
          </w:tcPr>
          <w:p w14:paraId="15784DB1" w14:textId="51B4AD49"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1,505,269.34 </w:t>
            </w:r>
          </w:p>
        </w:tc>
        <w:tc>
          <w:tcPr>
            <w:tcW w:w="1630" w:type="dxa"/>
            <w:tcBorders>
              <w:top w:val="nil"/>
              <w:left w:val="nil"/>
              <w:bottom w:val="single" w:sz="4" w:space="0" w:color="auto"/>
              <w:right w:val="single" w:sz="4" w:space="0" w:color="auto"/>
            </w:tcBorders>
            <w:shd w:val="clear" w:color="auto" w:fill="auto"/>
            <w:noWrap/>
            <w:vAlign w:val="bottom"/>
            <w:hideMark/>
          </w:tcPr>
          <w:p w14:paraId="43494C54" w14:textId="1B68A576"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1,508,868.08 </w:t>
            </w:r>
          </w:p>
        </w:tc>
        <w:tc>
          <w:tcPr>
            <w:tcW w:w="1620" w:type="dxa"/>
            <w:tcBorders>
              <w:top w:val="nil"/>
              <w:left w:val="nil"/>
              <w:bottom w:val="single" w:sz="4" w:space="0" w:color="auto"/>
              <w:right w:val="single" w:sz="4" w:space="0" w:color="auto"/>
            </w:tcBorders>
            <w:shd w:val="clear" w:color="auto" w:fill="auto"/>
            <w:noWrap/>
            <w:vAlign w:val="bottom"/>
            <w:hideMark/>
          </w:tcPr>
          <w:p w14:paraId="6E0201DD" w14:textId="18A04E7A"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1,508,868.08 </w:t>
            </w:r>
          </w:p>
        </w:tc>
        <w:tc>
          <w:tcPr>
            <w:tcW w:w="1260" w:type="dxa"/>
            <w:tcBorders>
              <w:top w:val="nil"/>
              <w:left w:val="nil"/>
              <w:bottom w:val="single" w:sz="4" w:space="0" w:color="auto"/>
              <w:right w:val="single" w:sz="4" w:space="0" w:color="auto"/>
            </w:tcBorders>
            <w:shd w:val="clear" w:color="auto" w:fill="auto"/>
            <w:noWrap/>
            <w:vAlign w:val="bottom"/>
            <w:hideMark/>
          </w:tcPr>
          <w:p w14:paraId="5E0E62D6" w14:textId="112093D5" w:rsidR="003803AD" w:rsidRPr="00824BC0" w:rsidRDefault="00BB15B2"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r>
      <w:tr w:rsidR="003803AD" w:rsidRPr="00824BC0" w14:paraId="2588EC66" w14:textId="77777777" w:rsidTr="00BB15B2">
        <w:trPr>
          <w:trHeight w:val="300"/>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3B2974BB" w14:textId="29D4045C" w:rsidR="003803AD" w:rsidRPr="00824BC0" w:rsidRDefault="003803AD" w:rsidP="003803AD">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September </w:t>
            </w:r>
          </w:p>
        </w:tc>
        <w:tc>
          <w:tcPr>
            <w:tcW w:w="1268" w:type="dxa"/>
            <w:tcBorders>
              <w:top w:val="nil"/>
              <w:left w:val="nil"/>
              <w:bottom w:val="single" w:sz="4" w:space="0" w:color="auto"/>
              <w:right w:val="single" w:sz="4" w:space="0" w:color="auto"/>
            </w:tcBorders>
            <w:shd w:val="clear" w:color="auto" w:fill="auto"/>
            <w:noWrap/>
            <w:vAlign w:val="bottom"/>
            <w:hideMark/>
          </w:tcPr>
          <w:p w14:paraId="40700E1D" w14:textId="38CEFA9F" w:rsidR="003803AD" w:rsidRPr="00824BC0" w:rsidRDefault="00BB15B2"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610" w:type="dxa"/>
            <w:tcBorders>
              <w:top w:val="nil"/>
              <w:left w:val="nil"/>
              <w:bottom w:val="single" w:sz="4" w:space="0" w:color="auto"/>
              <w:right w:val="single" w:sz="4" w:space="0" w:color="auto"/>
            </w:tcBorders>
            <w:shd w:val="clear" w:color="auto" w:fill="auto"/>
            <w:noWrap/>
            <w:vAlign w:val="bottom"/>
            <w:hideMark/>
          </w:tcPr>
          <w:p w14:paraId="25DA42C2" w14:textId="7771878A"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1,522,401.89 </w:t>
            </w:r>
          </w:p>
        </w:tc>
        <w:tc>
          <w:tcPr>
            <w:tcW w:w="1630" w:type="dxa"/>
            <w:tcBorders>
              <w:top w:val="nil"/>
              <w:left w:val="nil"/>
              <w:bottom w:val="single" w:sz="4" w:space="0" w:color="auto"/>
              <w:right w:val="single" w:sz="4" w:space="0" w:color="auto"/>
            </w:tcBorders>
            <w:shd w:val="clear" w:color="auto" w:fill="auto"/>
            <w:noWrap/>
            <w:vAlign w:val="bottom"/>
            <w:hideMark/>
          </w:tcPr>
          <w:p w14:paraId="413FC63F" w14:textId="5969BAE8"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1,522,401.89 </w:t>
            </w:r>
          </w:p>
        </w:tc>
        <w:tc>
          <w:tcPr>
            <w:tcW w:w="1620" w:type="dxa"/>
            <w:tcBorders>
              <w:top w:val="nil"/>
              <w:left w:val="nil"/>
              <w:bottom w:val="single" w:sz="4" w:space="0" w:color="auto"/>
              <w:right w:val="single" w:sz="4" w:space="0" w:color="auto"/>
            </w:tcBorders>
            <w:shd w:val="clear" w:color="auto" w:fill="auto"/>
            <w:noWrap/>
            <w:vAlign w:val="bottom"/>
            <w:hideMark/>
          </w:tcPr>
          <w:p w14:paraId="46A53A73" w14:textId="48344733"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1,515,367.85 </w:t>
            </w:r>
          </w:p>
        </w:tc>
        <w:tc>
          <w:tcPr>
            <w:tcW w:w="1260" w:type="dxa"/>
            <w:tcBorders>
              <w:top w:val="nil"/>
              <w:left w:val="nil"/>
              <w:bottom w:val="single" w:sz="4" w:space="0" w:color="auto"/>
              <w:right w:val="single" w:sz="4" w:space="0" w:color="auto"/>
            </w:tcBorders>
            <w:shd w:val="clear" w:color="auto" w:fill="auto"/>
            <w:noWrap/>
            <w:vAlign w:val="bottom"/>
            <w:hideMark/>
          </w:tcPr>
          <w:p w14:paraId="4BC02644" w14:textId="189C3F1B"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7,034.04 </w:t>
            </w:r>
          </w:p>
        </w:tc>
      </w:tr>
      <w:tr w:rsidR="003803AD" w:rsidRPr="00824BC0" w14:paraId="64B6D66E" w14:textId="77777777" w:rsidTr="00BB15B2">
        <w:trPr>
          <w:trHeight w:val="300"/>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10E1DBE6" w14:textId="3D2D9E8A" w:rsidR="003803AD" w:rsidRPr="00824BC0" w:rsidRDefault="003803AD" w:rsidP="003803AD">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October </w:t>
            </w:r>
          </w:p>
        </w:tc>
        <w:tc>
          <w:tcPr>
            <w:tcW w:w="1268" w:type="dxa"/>
            <w:tcBorders>
              <w:top w:val="nil"/>
              <w:left w:val="nil"/>
              <w:bottom w:val="single" w:sz="4" w:space="0" w:color="auto"/>
              <w:right w:val="single" w:sz="4" w:space="0" w:color="auto"/>
            </w:tcBorders>
            <w:shd w:val="clear" w:color="auto" w:fill="auto"/>
            <w:noWrap/>
            <w:vAlign w:val="bottom"/>
            <w:hideMark/>
          </w:tcPr>
          <w:p w14:paraId="43BDCE09" w14:textId="1A27E2A9"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7,034.04 </w:t>
            </w:r>
          </w:p>
        </w:tc>
        <w:tc>
          <w:tcPr>
            <w:tcW w:w="1610" w:type="dxa"/>
            <w:tcBorders>
              <w:top w:val="nil"/>
              <w:left w:val="nil"/>
              <w:bottom w:val="single" w:sz="4" w:space="0" w:color="auto"/>
              <w:right w:val="single" w:sz="4" w:space="0" w:color="auto"/>
            </w:tcBorders>
            <w:shd w:val="clear" w:color="auto" w:fill="auto"/>
            <w:noWrap/>
            <w:vAlign w:val="bottom"/>
            <w:hideMark/>
          </w:tcPr>
          <w:p w14:paraId="6396140C" w14:textId="072F2EA9"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1,550,252.91 </w:t>
            </w:r>
          </w:p>
        </w:tc>
        <w:tc>
          <w:tcPr>
            <w:tcW w:w="1630" w:type="dxa"/>
            <w:tcBorders>
              <w:top w:val="nil"/>
              <w:left w:val="nil"/>
              <w:bottom w:val="single" w:sz="4" w:space="0" w:color="auto"/>
              <w:right w:val="single" w:sz="4" w:space="0" w:color="auto"/>
            </w:tcBorders>
            <w:shd w:val="clear" w:color="auto" w:fill="auto"/>
            <w:noWrap/>
            <w:vAlign w:val="bottom"/>
            <w:hideMark/>
          </w:tcPr>
          <w:p w14:paraId="0F8BF5F7" w14:textId="381DC4E3"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1,557,286.95 </w:t>
            </w:r>
          </w:p>
        </w:tc>
        <w:tc>
          <w:tcPr>
            <w:tcW w:w="1620" w:type="dxa"/>
            <w:tcBorders>
              <w:top w:val="nil"/>
              <w:left w:val="nil"/>
              <w:bottom w:val="single" w:sz="4" w:space="0" w:color="auto"/>
              <w:right w:val="single" w:sz="4" w:space="0" w:color="auto"/>
            </w:tcBorders>
            <w:shd w:val="clear" w:color="auto" w:fill="auto"/>
            <w:noWrap/>
            <w:vAlign w:val="bottom"/>
            <w:hideMark/>
          </w:tcPr>
          <w:p w14:paraId="0767C3E6" w14:textId="69171AD8"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1,552,597.59 </w:t>
            </w:r>
          </w:p>
        </w:tc>
        <w:tc>
          <w:tcPr>
            <w:tcW w:w="1260" w:type="dxa"/>
            <w:tcBorders>
              <w:top w:val="nil"/>
              <w:left w:val="nil"/>
              <w:bottom w:val="single" w:sz="4" w:space="0" w:color="auto"/>
              <w:right w:val="single" w:sz="4" w:space="0" w:color="auto"/>
            </w:tcBorders>
            <w:shd w:val="clear" w:color="auto" w:fill="auto"/>
            <w:noWrap/>
            <w:vAlign w:val="bottom"/>
            <w:hideMark/>
          </w:tcPr>
          <w:p w14:paraId="32D306C1" w14:textId="366DBD44"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4,689.36 </w:t>
            </w:r>
          </w:p>
        </w:tc>
      </w:tr>
      <w:tr w:rsidR="003803AD" w:rsidRPr="00824BC0" w14:paraId="1A1A58B9" w14:textId="77777777" w:rsidTr="00BB15B2">
        <w:trPr>
          <w:trHeight w:val="300"/>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554D1C44" w14:textId="2B02A9A7" w:rsidR="003803AD" w:rsidRPr="00824BC0" w:rsidRDefault="003803AD" w:rsidP="003803AD">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November </w:t>
            </w:r>
          </w:p>
        </w:tc>
        <w:tc>
          <w:tcPr>
            <w:tcW w:w="1268" w:type="dxa"/>
            <w:tcBorders>
              <w:top w:val="nil"/>
              <w:left w:val="nil"/>
              <w:bottom w:val="single" w:sz="4" w:space="0" w:color="auto"/>
              <w:right w:val="single" w:sz="4" w:space="0" w:color="auto"/>
            </w:tcBorders>
            <w:shd w:val="clear" w:color="auto" w:fill="auto"/>
            <w:noWrap/>
            <w:vAlign w:val="bottom"/>
            <w:hideMark/>
          </w:tcPr>
          <w:p w14:paraId="0A424289" w14:textId="20333E3E"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4,689.36 </w:t>
            </w:r>
          </w:p>
        </w:tc>
        <w:tc>
          <w:tcPr>
            <w:tcW w:w="1610" w:type="dxa"/>
            <w:tcBorders>
              <w:top w:val="nil"/>
              <w:left w:val="nil"/>
              <w:bottom w:val="single" w:sz="4" w:space="0" w:color="auto"/>
              <w:right w:val="single" w:sz="4" w:space="0" w:color="auto"/>
            </w:tcBorders>
            <w:shd w:val="clear" w:color="auto" w:fill="auto"/>
            <w:noWrap/>
            <w:vAlign w:val="bottom"/>
            <w:hideMark/>
          </w:tcPr>
          <w:p w14:paraId="2AFF2F7A" w14:textId="68E78A71"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1,534,909.81 </w:t>
            </w:r>
          </w:p>
        </w:tc>
        <w:tc>
          <w:tcPr>
            <w:tcW w:w="1630" w:type="dxa"/>
            <w:tcBorders>
              <w:top w:val="nil"/>
              <w:left w:val="nil"/>
              <w:bottom w:val="single" w:sz="4" w:space="0" w:color="auto"/>
              <w:right w:val="single" w:sz="4" w:space="0" w:color="auto"/>
            </w:tcBorders>
            <w:shd w:val="clear" w:color="auto" w:fill="auto"/>
            <w:noWrap/>
            <w:vAlign w:val="bottom"/>
            <w:hideMark/>
          </w:tcPr>
          <w:p w14:paraId="1ACD2D85" w14:textId="15B6FA8D"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1,539,599.17 </w:t>
            </w:r>
          </w:p>
        </w:tc>
        <w:tc>
          <w:tcPr>
            <w:tcW w:w="1620" w:type="dxa"/>
            <w:tcBorders>
              <w:top w:val="nil"/>
              <w:left w:val="nil"/>
              <w:bottom w:val="single" w:sz="4" w:space="0" w:color="auto"/>
              <w:right w:val="single" w:sz="4" w:space="0" w:color="auto"/>
            </w:tcBorders>
            <w:shd w:val="clear" w:color="auto" w:fill="auto"/>
            <w:noWrap/>
            <w:vAlign w:val="bottom"/>
            <w:hideMark/>
          </w:tcPr>
          <w:p w14:paraId="4C5804C2" w14:textId="27B6C379"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1,537,254.49 </w:t>
            </w:r>
          </w:p>
        </w:tc>
        <w:tc>
          <w:tcPr>
            <w:tcW w:w="1260" w:type="dxa"/>
            <w:tcBorders>
              <w:top w:val="nil"/>
              <w:left w:val="nil"/>
              <w:bottom w:val="single" w:sz="4" w:space="0" w:color="auto"/>
              <w:right w:val="single" w:sz="4" w:space="0" w:color="auto"/>
            </w:tcBorders>
            <w:shd w:val="clear" w:color="auto" w:fill="auto"/>
            <w:noWrap/>
            <w:vAlign w:val="bottom"/>
            <w:hideMark/>
          </w:tcPr>
          <w:p w14:paraId="67BB5E37" w14:textId="2975C10A"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2,344.68 </w:t>
            </w:r>
          </w:p>
        </w:tc>
      </w:tr>
      <w:tr w:rsidR="003803AD" w:rsidRPr="00824BC0" w14:paraId="65268D06" w14:textId="77777777" w:rsidTr="00BB15B2">
        <w:trPr>
          <w:trHeight w:val="300"/>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7FCA6488" w14:textId="257B6C6F" w:rsidR="003803AD" w:rsidRPr="00824BC0" w:rsidRDefault="003803AD" w:rsidP="003803AD">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December </w:t>
            </w:r>
          </w:p>
        </w:tc>
        <w:tc>
          <w:tcPr>
            <w:tcW w:w="1268" w:type="dxa"/>
            <w:tcBorders>
              <w:top w:val="nil"/>
              <w:left w:val="nil"/>
              <w:bottom w:val="single" w:sz="4" w:space="0" w:color="auto"/>
              <w:right w:val="single" w:sz="4" w:space="0" w:color="auto"/>
            </w:tcBorders>
            <w:shd w:val="clear" w:color="auto" w:fill="auto"/>
            <w:noWrap/>
            <w:vAlign w:val="bottom"/>
            <w:hideMark/>
          </w:tcPr>
          <w:p w14:paraId="127F9F82" w14:textId="0AFBA2F6"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2,344.68 </w:t>
            </w:r>
          </w:p>
        </w:tc>
        <w:tc>
          <w:tcPr>
            <w:tcW w:w="1610" w:type="dxa"/>
            <w:tcBorders>
              <w:top w:val="nil"/>
              <w:left w:val="nil"/>
              <w:bottom w:val="single" w:sz="4" w:space="0" w:color="auto"/>
              <w:right w:val="single" w:sz="4" w:space="0" w:color="auto"/>
            </w:tcBorders>
            <w:shd w:val="clear" w:color="auto" w:fill="auto"/>
            <w:noWrap/>
            <w:vAlign w:val="bottom"/>
            <w:hideMark/>
          </w:tcPr>
          <w:p w14:paraId="4516F97F" w14:textId="72A77987"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1,543,027.96 </w:t>
            </w:r>
          </w:p>
        </w:tc>
        <w:tc>
          <w:tcPr>
            <w:tcW w:w="1630" w:type="dxa"/>
            <w:tcBorders>
              <w:top w:val="nil"/>
              <w:left w:val="nil"/>
              <w:bottom w:val="single" w:sz="4" w:space="0" w:color="auto"/>
              <w:right w:val="single" w:sz="4" w:space="0" w:color="auto"/>
            </w:tcBorders>
            <w:shd w:val="clear" w:color="auto" w:fill="auto"/>
            <w:noWrap/>
            <w:vAlign w:val="bottom"/>
            <w:hideMark/>
          </w:tcPr>
          <w:p w14:paraId="1D6E4A9D" w14:textId="1DEE18CC"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1,545,372.64 </w:t>
            </w:r>
          </w:p>
        </w:tc>
        <w:tc>
          <w:tcPr>
            <w:tcW w:w="1620" w:type="dxa"/>
            <w:tcBorders>
              <w:top w:val="nil"/>
              <w:left w:val="nil"/>
              <w:bottom w:val="single" w:sz="4" w:space="0" w:color="auto"/>
              <w:right w:val="single" w:sz="4" w:space="0" w:color="auto"/>
            </w:tcBorders>
            <w:shd w:val="clear" w:color="auto" w:fill="auto"/>
            <w:noWrap/>
            <w:vAlign w:val="bottom"/>
            <w:hideMark/>
          </w:tcPr>
          <w:p w14:paraId="2B313BD5" w14:textId="5239FB30" w:rsidR="003803AD" w:rsidRPr="00824BC0" w:rsidRDefault="003803AD"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1,545,372.64 </w:t>
            </w:r>
          </w:p>
        </w:tc>
        <w:tc>
          <w:tcPr>
            <w:tcW w:w="1260" w:type="dxa"/>
            <w:tcBorders>
              <w:top w:val="nil"/>
              <w:left w:val="nil"/>
              <w:bottom w:val="single" w:sz="4" w:space="0" w:color="auto"/>
              <w:right w:val="single" w:sz="4" w:space="0" w:color="auto"/>
            </w:tcBorders>
            <w:shd w:val="clear" w:color="auto" w:fill="auto"/>
            <w:noWrap/>
            <w:vAlign w:val="bottom"/>
            <w:hideMark/>
          </w:tcPr>
          <w:p w14:paraId="1AD12935" w14:textId="787183DD" w:rsidR="003803AD" w:rsidRPr="00824BC0" w:rsidRDefault="00BB15B2" w:rsidP="00BB15B2">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r>
    </w:tbl>
    <w:p w14:paraId="68B88ED9" w14:textId="77777777" w:rsidR="003803AD" w:rsidRPr="00824BC0" w:rsidRDefault="003803AD" w:rsidP="003803AD">
      <w:pPr>
        <w:pStyle w:val="ListParagraph"/>
        <w:rPr>
          <w:color w:val="000000" w:themeColor="text1"/>
        </w:rPr>
      </w:pPr>
    </w:p>
    <w:p w14:paraId="3D6854C4" w14:textId="425B876F" w:rsidR="003803AD" w:rsidRPr="00824BC0" w:rsidRDefault="0012110F" w:rsidP="003803AD">
      <w:pPr>
        <w:pStyle w:val="ListParagraph"/>
        <w:numPr>
          <w:ilvl w:val="1"/>
          <w:numId w:val="5"/>
        </w:numPr>
        <w:ind w:left="0" w:firstLine="0"/>
        <w:contextualSpacing w:val="0"/>
        <w:jc w:val="both"/>
        <w:rPr>
          <w:color w:val="000000" w:themeColor="text1"/>
        </w:rPr>
      </w:pPr>
      <w:r w:rsidRPr="00824BC0">
        <w:rPr>
          <w:color w:val="000000" w:themeColor="text1"/>
        </w:rPr>
        <w:t xml:space="preserve">The unremitted balances during the year referred to Salary Loan refunds of employees who renewed their loans.  </w:t>
      </w:r>
      <w:r w:rsidR="0054426E" w:rsidRPr="00824BC0">
        <w:rPr>
          <w:color w:val="000000" w:themeColor="text1"/>
        </w:rPr>
        <w:t>However, the amounts were remitted in full by year-end, arriving at a zero balance of the Due to GSIS account as of December 31, 2021.</w:t>
      </w:r>
    </w:p>
    <w:p w14:paraId="20F48BAF" w14:textId="77777777" w:rsidR="0054426E" w:rsidRPr="00824BC0" w:rsidRDefault="0054426E" w:rsidP="0054426E">
      <w:pPr>
        <w:pStyle w:val="ListParagraph"/>
        <w:ind w:left="0"/>
        <w:contextualSpacing w:val="0"/>
        <w:jc w:val="both"/>
        <w:rPr>
          <w:color w:val="000000" w:themeColor="text1"/>
        </w:rPr>
      </w:pPr>
    </w:p>
    <w:p w14:paraId="37F94804" w14:textId="149E01CC" w:rsidR="0054426E" w:rsidRPr="00824BC0" w:rsidRDefault="0054426E" w:rsidP="003803AD">
      <w:pPr>
        <w:pStyle w:val="ListParagraph"/>
        <w:numPr>
          <w:ilvl w:val="1"/>
          <w:numId w:val="5"/>
        </w:numPr>
        <w:ind w:left="0" w:firstLine="0"/>
        <w:contextualSpacing w:val="0"/>
        <w:jc w:val="both"/>
        <w:rPr>
          <w:color w:val="000000" w:themeColor="text1"/>
        </w:rPr>
      </w:pPr>
      <w:r w:rsidRPr="00824BC0">
        <w:rPr>
          <w:color w:val="000000" w:themeColor="text1"/>
        </w:rPr>
        <w:t xml:space="preserve">The College made timely remittances </w:t>
      </w:r>
      <w:r w:rsidR="006024A3">
        <w:rPr>
          <w:color w:val="000000" w:themeColor="text1"/>
        </w:rPr>
        <w:t xml:space="preserve">to the GSIS </w:t>
      </w:r>
      <w:r w:rsidRPr="00824BC0">
        <w:rPr>
          <w:color w:val="000000" w:themeColor="text1"/>
        </w:rPr>
        <w:t xml:space="preserve">of amounts withheld from mandatory deductions. </w:t>
      </w:r>
      <w:r w:rsidR="00F3231D" w:rsidRPr="00824BC0">
        <w:rPr>
          <w:color w:val="000000" w:themeColor="text1"/>
        </w:rPr>
        <w:t>As such</w:t>
      </w:r>
      <w:r w:rsidRPr="00824BC0">
        <w:rPr>
          <w:color w:val="000000" w:themeColor="text1"/>
        </w:rPr>
        <w:t>, no penalty for late payment was imposed</w:t>
      </w:r>
      <w:r w:rsidR="003F4525" w:rsidRPr="00824BC0">
        <w:rPr>
          <w:color w:val="000000" w:themeColor="text1"/>
        </w:rPr>
        <w:t xml:space="preserve"> and the employees can fully enjoy their benefits as GSIS members.</w:t>
      </w:r>
    </w:p>
    <w:p w14:paraId="25D75894" w14:textId="77777777" w:rsidR="0054426E" w:rsidRPr="00824BC0" w:rsidRDefault="0054426E" w:rsidP="0054426E">
      <w:pPr>
        <w:pStyle w:val="ListParagraph"/>
        <w:rPr>
          <w:color w:val="000000" w:themeColor="text1"/>
        </w:rPr>
      </w:pPr>
    </w:p>
    <w:p w14:paraId="27453A39" w14:textId="445E3690" w:rsidR="0054426E" w:rsidRPr="00824BC0" w:rsidRDefault="0054426E" w:rsidP="003803AD">
      <w:pPr>
        <w:pStyle w:val="ListParagraph"/>
        <w:numPr>
          <w:ilvl w:val="1"/>
          <w:numId w:val="5"/>
        </w:numPr>
        <w:ind w:left="0" w:firstLine="0"/>
        <w:contextualSpacing w:val="0"/>
        <w:jc w:val="both"/>
        <w:rPr>
          <w:b/>
          <w:bCs/>
          <w:color w:val="000000" w:themeColor="text1"/>
        </w:rPr>
      </w:pPr>
      <w:r w:rsidRPr="00824BC0">
        <w:rPr>
          <w:b/>
          <w:bCs/>
          <w:color w:val="000000" w:themeColor="text1"/>
        </w:rPr>
        <w:t>We recommended and Management agreed to continue to religiously comply with the requirements of R.A. No. 8291 on the withholding and timely remittance of monthly contributions and loan payments to the GSIS.</w:t>
      </w:r>
    </w:p>
    <w:p w14:paraId="18223739" w14:textId="6D6016DD" w:rsidR="003803AD" w:rsidRPr="00824BC0" w:rsidRDefault="003803AD" w:rsidP="003803AD">
      <w:pPr>
        <w:pStyle w:val="ListParagraph"/>
        <w:ind w:left="0"/>
        <w:jc w:val="both"/>
        <w:rPr>
          <w:b/>
          <w:szCs w:val="24"/>
        </w:rPr>
      </w:pPr>
    </w:p>
    <w:p w14:paraId="1A5A1359" w14:textId="0CA508F0" w:rsidR="0054426E" w:rsidRPr="00824BC0" w:rsidRDefault="0054426E" w:rsidP="003803AD">
      <w:pPr>
        <w:pStyle w:val="ListParagraph"/>
        <w:ind w:left="0"/>
        <w:jc w:val="both"/>
        <w:rPr>
          <w:b/>
          <w:szCs w:val="24"/>
        </w:rPr>
      </w:pPr>
    </w:p>
    <w:p w14:paraId="32549D3B" w14:textId="17154061" w:rsidR="0054426E" w:rsidRPr="00824BC0" w:rsidRDefault="0054426E" w:rsidP="003803AD">
      <w:pPr>
        <w:pStyle w:val="ListParagraph"/>
        <w:ind w:left="0"/>
        <w:jc w:val="both"/>
        <w:rPr>
          <w:bCs/>
          <w:szCs w:val="24"/>
        </w:rPr>
      </w:pPr>
      <w:r w:rsidRPr="00824BC0">
        <w:rPr>
          <w:bCs/>
          <w:i/>
          <w:iCs/>
          <w:szCs w:val="24"/>
        </w:rPr>
        <w:t xml:space="preserve">Compliance with </w:t>
      </w:r>
      <w:r w:rsidR="006F5D33" w:rsidRPr="00824BC0">
        <w:rPr>
          <w:bCs/>
          <w:i/>
          <w:iCs/>
          <w:szCs w:val="24"/>
        </w:rPr>
        <w:t xml:space="preserve">remittance of mandatory </w:t>
      </w:r>
      <w:r w:rsidR="00F3231D" w:rsidRPr="00824BC0">
        <w:rPr>
          <w:bCs/>
          <w:i/>
          <w:iCs/>
          <w:szCs w:val="24"/>
        </w:rPr>
        <w:t>PhilHealth</w:t>
      </w:r>
      <w:r w:rsidR="006F5D33" w:rsidRPr="00824BC0">
        <w:rPr>
          <w:bCs/>
          <w:i/>
          <w:iCs/>
          <w:szCs w:val="24"/>
        </w:rPr>
        <w:t xml:space="preserve"> and Pag-IBIG contributions</w:t>
      </w:r>
    </w:p>
    <w:p w14:paraId="76C8BF4B" w14:textId="0E5F9E5B" w:rsidR="006F5D33" w:rsidRPr="00824BC0" w:rsidRDefault="006F5D33" w:rsidP="003803AD">
      <w:pPr>
        <w:pStyle w:val="ListParagraph"/>
        <w:ind w:left="0"/>
        <w:jc w:val="both"/>
        <w:rPr>
          <w:bCs/>
          <w:szCs w:val="24"/>
        </w:rPr>
      </w:pPr>
    </w:p>
    <w:p w14:paraId="054AB126" w14:textId="0CB7BB04" w:rsidR="006F5D33" w:rsidRPr="006024A3" w:rsidRDefault="006F5D33" w:rsidP="008C4C5D">
      <w:pPr>
        <w:pStyle w:val="ListParagraph"/>
        <w:numPr>
          <w:ilvl w:val="0"/>
          <w:numId w:val="5"/>
        </w:numPr>
        <w:ind w:left="0" w:firstLine="0"/>
        <w:jc w:val="both"/>
        <w:rPr>
          <w:b/>
          <w:i/>
          <w:iCs/>
          <w:szCs w:val="24"/>
        </w:rPr>
      </w:pPr>
      <w:r w:rsidRPr="006024A3">
        <w:rPr>
          <w:b/>
          <w:i/>
          <w:iCs/>
          <w:szCs w:val="24"/>
        </w:rPr>
        <w:t xml:space="preserve">The </w:t>
      </w:r>
      <w:r w:rsidR="00F3231D" w:rsidRPr="006024A3">
        <w:rPr>
          <w:b/>
          <w:i/>
          <w:iCs/>
          <w:szCs w:val="24"/>
        </w:rPr>
        <w:t>College</w:t>
      </w:r>
      <w:r w:rsidRPr="006024A3">
        <w:rPr>
          <w:b/>
          <w:i/>
          <w:iCs/>
          <w:szCs w:val="24"/>
        </w:rPr>
        <w:t xml:space="preserve"> substantially complied with the withholding and</w:t>
      </w:r>
      <w:r w:rsidR="00F3231D" w:rsidRPr="006024A3">
        <w:rPr>
          <w:b/>
          <w:i/>
          <w:iCs/>
          <w:szCs w:val="24"/>
        </w:rPr>
        <w:t xml:space="preserve"> prompt </w:t>
      </w:r>
      <w:r w:rsidRPr="006024A3">
        <w:rPr>
          <w:b/>
          <w:i/>
          <w:iCs/>
          <w:szCs w:val="24"/>
        </w:rPr>
        <w:t>remittance of amount</w:t>
      </w:r>
      <w:r w:rsidR="00F3231D" w:rsidRPr="006024A3">
        <w:rPr>
          <w:b/>
          <w:i/>
          <w:iCs/>
          <w:szCs w:val="24"/>
        </w:rPr>
        <w:t>s</w:t>
      </w:r>
      <w:r w:rsidRPr="006024A3">
        <w:rPr>
          <w:b/>
          <w:i/>
          <w:iCs/>
          <w:szCs w:val="24"/>
        </w:rPr>
        <w:t xml:space="preserve"> withheld to </w:t>
      </w:r>
      <w:r w:rsidR="00F3231D" w:rsidRPr="006024A3">
        <w:rPr>
          <w:b/>
          <w:i/>
          <w:iCs/>
          <w:szCs w:val="24"/>
        </w:rPr>
        <w:t>PhilHealth</w:t>
      </w:r>
      <w:r w:rsidRPr="006024A3">
        <w:rPr>
          <w:b/>
          <w:i/>
          <w:iCs/>
          <w:szCs w:val="24"/>
        </w:rPr>
        <w:t xml:space="preserve"> pursuant to Paragraphs (a), (b), and (e)</w:t>
      </w:r>
      <w:r w:rsidR="00F3231D" w:rsidRPr="006024A3">
        <w:rPr>
          <w:b/>
          <w:i/>
          <w:iCs/>
          <w:szCs w:val="24"/>
        </w:rPr>
        <w:t xml:space="preserve">, </w:t>
      </w:r>
      <w:r w:rsidRPr="006024A3">
        <w:rPr>
          <w:b/>
          <w:i/>
          <w:iCs/>
          <w:szCs w:val="24"/>
        </w:rPr>
        <w:t xml:space="preserve">Section 18 of the Revised Implementing Rules and Regulations of Republic Act </w:t>
      </w:r>
      <w:r w:rsidR="00F3231D" w:rsidRPr="006024A3">
        <w:rPr>
          <w:b/>
          <w:i/>
          <w:iCs/>
          <w:szCs w:val="24"/>
        </w:rPr>
        <w:t xml:space="preserve">(RIRR) </w:t>
      </w:r>
      <w:r w:rsidRPr="006024A3">
        <w:rPr>
          <w:b/>
          <w:i/>
          <w:iCs/>
          <w:szCs w:val="24"/>
        </w:rPr>
        <w:t xml:space="preserve">No. 7875. On the other hand, remittance </w:t>
      </w:r>
      <w:r w:rsidR="008C4C5D" w:rsidRPr="006024A3">
        <w:rPr>
          <w:b/>
          <w:i/>
          <w:iCs/>
          <w:szCs w:val="24"/>
        </w:rPr>
        <w:t xml:space="preserve">to Pag-IBIG Fund </w:t>
      </w:r>
      <w:r w:rsidRPr="006024A3">
        <w:rPr>
          <w:b/>
          <w:i/>
          <w:iCs/>
          <w:szCs w:val="24"/>
        </w:rPr>
        <w:t>of monthly Home Development Mutual Fund (HDMF) contributions w</w:t>
      </w:r>
      <w:r w:rsidR="008C4C5D" w:rsidRPr="006024A3">
        <w:rPr>
          <w:b/>
          <w:i/>
          <w:iCs/>
          <w:szCs w:val="24"/>
        </w:rPr>
        <w:t>as</w:t>
      </w:r>
      <w:r w:rsidRPr="006024A3">
        <w:rPr>
          <w:b/>
          <w:i/>
          <w:iCs/>
          <w:szCs w:val="24"/>
        </w:rPr>
        <w:t xml:space="preserve"> done in a timely </w:t>
      </w:r>
      <w:r w:rsidR="00F3231D" w:rsidRPr="006024A3">
        <w:rPr>
          <w:b/>
          <w:i/>
          <w:iCs/>
          <w:szCs w:val="24"/>
        </w:rPr>
        <w:t>fashion</w:t>
      </w:r>
      <w:r w:rsidRPr="006024A3">
        <w:rPr>
          <w:b/>
          <w:i/>
          <w:iCs/>
          <w:szCs w:val="24"/>
        </w:rPr>
        <w:t xml:space="preserve">, </w:t>
      </w:r>
      <w:r w:rsidR="00F3231D" w:rsidRPr="006024A3">
        <w:rPr>
          <w:b/>
          <w:i/>
          <w:iCs/>
          <w:szCs w:val="24"/>
        </w:rPr>
        <w:t>consistent with</w:t>
      </w:r>
      <w:r w:rsidRPr="006024A3">
        <w:rPr>
          <w:b/>
          <w:i/>
          <w:iCs/>
          <w:szCs w:val="24"/>
        </w:rPr>
        <w:t xml:space="preserve"> </w:t>
      </w:r>
      <w:r w:rsidR="008C4C5D" w:rsidRPr="006024A3">
        <w:rPr>
          <w:b/>
          <w:i/>
          <w:iCs/>
          <w:color w:val="000000" w:themeColor="text1"/>
        </w:rPr>
        <w:t>Section 3(a)</w:t>
      </w:r>
      <w:r w:rsidR="00F3231D" w:rsidRPr="006024A3">
        <w:rPr>
          <w:b/>
          <w:i/>
          <w:iCs/>
          <w:color w:val="000000" w:themeColor="text1"/>
        </w:rPr>
        <w:t>,</w:t>
      </w:r>
      <w:r w:rsidR="008C4C5D" w:rsidRPr="006024A3">
        <w:rPr>
          <w:b/>
          <w:i/>
          <w:iCs/>
          <w:color w:val="000000" w:themeColor="text1"/>
        </w:rPr>
        <w:t xml:space="preserve"> Rule VII of </w:t>
      </w:r>
      <w:r w:rsidR="00F3231D" w:rsidRPr="006024A3">
        <w:rPr>
          <w:b/>
          <w:i/>
          <w:iCs/>
          <w:color w:val="000000" w:themeColor="text1"/>
          <w:kern w:val="36"/>
        </w:rPr>
        <w:t>RA</w:t>
      </w:r>
      <w:r w:rsidR="008C4C5D" w:rsidRPr="006024A3">
        <w:rPr>
          <w:b/>
          <w:i/>
          <w:iCs/>
          <w:color w:val="000000" w:themeColor="text1"/>
          <w:kern w:val="36"/>
        </w:rPr>
        <w:t xml:space="preserve"> No. 9679.</w:t>
      </w:r>
    </w:p>
    <w:p w14:paraId="67A42A4F" w14:textId="1FF80C3E" w:rsidR="008C4C5D" w:rsidRPr="00824BC0" w:rsidRDefault="008C4C5D" w:rsidP="008C4C5D">
      <w:pPr>
        <w:pStyle w:val="ListParagraph"/>
        <w:ind w:left="0"/>
        <w:jc w:val="both"/>
        <w:rPr>
          <w:b/>
          <w:szCs w:val="24"/>
        </w:rPr>
      </w:pPr>
    </w:p>
    <w:p w14:paraId="7E5FD5CD" w14:textId="1EFD4810" w:rsidR="008C4C5D" w:rsidRPr="00824BC0" w:rsidRDefault="008C4C5D" w:rsidP="008C4C5D">
      <w:pPr>
        <w:pStyle w:val="ListParagraph"/>
        <w:numPr>
          <w:ilvl w:val="1"/>
          <w:numId w:val="5"/>
        </w:numPr>
        <w:ind w:left="0" w:firstLine="0"/>
        <w:contextualSpacing w:val="0"/>
        <w:jc w:val="both"/>
        <w:rPr>
          <w:color w:val="000000" w:themeColor="text1"/>
        </w:rPr>
      </w:pPr>
      <w:r w:rsidRPr="00824BC0">
        <w:rPr>
          <w:color w:val="000000" w:themeColor="text1"/>
        </w:rPr>
        <w:t>Paragraph</w:t>
      </w:r>
      <w:r w:rsidR="007E4891" w:rsidRPr="00824BC0">
        <w:rPr>
          <w:color w:val="000000" w:themeColor="text1"/>
        </w:rPr>
        <w:t>s (a),</w:t>
      </w:r>
      <w:r w:rsidRPr="00824BC0">
        <w:rPr>
          <w:color w:val="000000" w:themeColor="text1"/>
        </w:rPr>
        <w:t xml:space="preserve"> (b)</w:t>
      </w:r>
      <w:r w:rsidR="007E4891" w:rsidRPr="00824BC0">
        <w:rPr>
          <w:color w:val="000000" w:themeColor="text1"/>
        </w:rPr>
        <w:t xml:space="preserve"> and (e)</w:t>
      </w:r>
      <w:r w:rsidRPr="00824BC0">
        <w:rPr>
          <w:color w:val="000000" w:themeColor="text1"/>
        </w:rPr>
        <w:t>, Section 18 of the Revised Implementing Rules and Regulations</w:t>
      </w:r>
      <w:r w:rsidR="00F3231D" w:rsidRPr="00824BC0">
        <w:rPr>
          <w:color w:val="000000" w:themeColor="text1"/>
        </w:rPr>
        <w:t xml:space="preserve"> (RIRR)</w:t>
      </w:r>
      <w:r w:rsidRPr="00824BC0">
        <w:rPr>
          <w:color w:val="000000" w:themeColor="text1"/>
        </w:rPr>
        <w:t xml:space="preserve"> of </w:t>
      </w:r>
      <w:r w:rsidRPr="00824BC0">
        <w:rPr>
          <w:bCs/>
          <w:color w:val="000000" w:themeColor="text1"/>
          <w:kern w:val="36"/>
        </w:rPr>
        <w:t>Republic Act</w:t>
      </w:r>
      <w:r w:rsidR="00F3231D" w:rsidRPr="00824BC0">
        <w:rPr>
          <w:bCs/>
          <w:color w:val="000000" w:themeColor="text1"/>
          <w:kern w:val="36"/>
        </w:rPr>
        <w:t xml:space="preserve"> (R.A.)</w:t>
      </w:r>
      <w:r w:rsidRPr="00824BC0">
        <w:rPr>
          <w:bCs/>
          <w:color w:val="000000" w:themeColor="text1"/>
          <w:kern w:val="36"/>
        </w:rPr>
        <w:t xml:space="preserve"> No. 7875 </w:t>
      </w:r>
      <w:r w:rsidRPr="00824BC0">
        <w:rPr>
          <w:color w:val="000000" w:themeColor="text1"/>
        </w:rPr>
        <w:t>as amended by R</w:t>
      </w:r>
      <w:r w:rsidR="00F3231D" w:rsidRPr="00824BC0">
        <w:rPr>
          <w:color w:val="000000" w:themeColor="text1"/>
        </w:rPr>
        <w:t>.</w:t>
      </w:r>
      <w:r w:rsidRPr="00824BC0">
        <w:rPr>
          <w:color w:val="000000" w:themeColor="text1"/>
        </w:rPr>
        <w:t>A</w:t>
      </w:r>
      <w:r w:rsidR="00F3231D" w:rsidRPr="00824BC0">
        <w:rPr>
          <w:color w:val="000000" w:themeColor="text1"/>
        </w:rPr>
        <w:t>.</w:t>
      </w:r>
      <w:r w:rsidRPr="00824BC0">
        <w:rPr>
          <w:color w:val="000000" w:themeColor="text1"/>
        </w:rPr>
        <w:t xml:space="preserve"> 9241 and R</w:t>
      </w:r>
      <w:r w:rsidR="00F3231D" w:rsidRPr="00824BC0">
        <w:rPr>
          <w:color w:val="000000" w:themeColor="text1"/>
        </w:rPr>
        <w:t>.</w:t>
      </w:r>
      <w:r w:rsidRPr="00824BC0">
        <w:rPr>
          <w:color w:val="000000" w:themeColor="text1"/>
        </w:rPr>
        <w:t>A</w:t>
      </w:r>
      <w:r w:rsidR="00F3231D" w:rsidRPr="00824BC0">
        <w:rPr>
          <w:color w:val="000000" w:themeColor="text1"/>
        </w:rPr>
        <w:t>.</w:t>
      </w:r>
      <w:r w:rsidRPr="00824BC0">
        <w:rPr>
          <w:color w:val="000000" w:themeColor="text1"/>
        </w:rPr>
        <w:t>10606, otherwise known as the National Health Insurance Act of 2013 states that:</w:t>
      </w:r>
    </w:p>
    <w:p w14:paraId="5C5E2414" w14:textId="77777777" w:rsidR="008C4C5D" w:rsidRPr="00824BC0" w:rsidRDefault="008C4C5D" w:rsidP="008C4C5D">
      <w:pPr>
        <w:pStyle w:val="ListParagraph"/>
        <w:jc w:val="both"/>
        <w:rPr>
          <w:color w:val="000000" w:themeColor="text1"/>
        </w:rPr>
      </w:pPr>
    </w:p>
    <w:p w14:paraId="229AED68" w14:textId="77B7CBE4" w:rsidR="008C4C5D" w:rsidRPr="00824BC0" w:rsidRDefault="008C4C5D" w:rsidP="008C4C5D">
      <w:pPr>
        <w:spacing w:after="0" w:line="240" w:lineRule="auto"/>
        <w:ind w:left="720"/>
        <w:jc w:val="both"/>
        <w:rPr>
          <w:rFonts w:ascii="Times New Roman" w:hAnsi="Times New Roman" w:cs="Times New Roman"/>
          <w:i/>
          <w:color w:val="000000" w:themeColor="text1"/>
          <w:sz w:val="24"/>
          <w:szCs w:val="24"/>
        </w:rPr>
      </w:pPr>
      <w:r w:rsidRPr="00824BC0">
        <w:rPr>
          <w:rFonts w:ascii="Times New Roman" w:hAnsi="Times New Roman" w:cs="Times New Roman"/>
          <w:i/>
          <w:color w:val="000000" w:themeColor="text1"/>
          <w:sz w:val="24"/>
          <w:szCs w:val="24"/>
        </w:rPr>
        <w:t>SECTION 18. Payment of Premium Contributions</w:t>
      </w:r>
    </w:p>
    <w:p w14:paraId="2C9275F7" w14:textId="77777777" w:rsidR="008C4C5D" w:rsidRPr="00824BC0" w:rsidRDefault="008C4C5D" w:rsidP="007E4891">
      <w:pPr>
        <w:spacing w:after="0" w:line="240" w:lineRule="auto"/>
        <w:jc w:val="both"/>
        <w:rPr>
          <w:rFonts w:ascii="Times New Roman" w:hAnsi="Times New Roman" w:cs="Times New Roman"/>
          <w:i/>
          <w:color w:val="000000" w:themeColor="text1"/>
          <w:sz w:val="24"/>
          <w:szCs w:val="24"/>
        </w:rPr>
      </w:pPr>
    </w:p>
    <w:p w14:paraId="67568847" w14:textId="1A0A6261" w:rsidR="007E4891" w:rsidRPr="00824BC0" w:rsidRDefault="007E4891" w:rsidP="007E4891">
      <w:pPr>
        <w:pStyle w:val="ListParagraph"/>
        <w:numPr>
          <w:ilvl w:val="0"/>
          <w:numId w:val="33"/>
        </w:numPr>
        <w:ind w:right="1080"/>
        <w:jc w:val="both"/>
        <w:rPr>
          <w:i/>
          <w:iCs/>
          <w:color w:val="000000" w:themeColor="text1"/>
          <w:szCs w:val="24"/>
        </w:rPr>
      </w:pPr>
      <w:r w:rsidRPr="00824BC0">
        <w:rPr>
          <w:i/>
          <w:iCs/>
        </w:rPr>
        <w:t>The member’s monthly contribution shall be deducted and withheld automatically by the employer from the former’s salary, wage or earnings. The premium contributed shall be divided equally between the employer and the employed. The employer’s counterpart shall not, in any manner be charged to the employee.</w:t>
      </w:r>
    </w:p>
    <w:p w14:paraId="1B6CD12C" w14:textId="77777777" w:rsidR="007E4891" w:rsidRPr="00824BC0" w:rsidRDefault="007E4891" w:rsidP="007E4891">
      <w:pPr>
        <w:pStyle w:val="ListParagraph"/>
        <w:ind w:left="1080" w:right="1080"/>
        <w:jc w:val="both"/>
        <w:rPr>
          <w:i/>
          <w:iCs/>
          <w:color w:val="000000" w:themeColor="text1"/>
          <w:szCs w:val="24"/>
        </w:rPr>
      </w:pPr>
    </w:p>
    <w:p w14:paraId="09FA5D73" w14:textId="165EB100" w:rsidR="008C4C5D" w:rsidRPr="00824BC0" w:rsidRDefault="008C4C5D" w:rsidP="007E4891">
      <w:pPr>
        <w:pStyle w:val="ListParagraph"/>
        <w:numPr>
          <w:ilvl w:val="0"/>
          <w:numId w:val="33"/>
        </w:numPr>
        <w:ind w:right="1080"/>
        <w:jc w:val="both"/>
        <w:rPr>
          <w:iCs/>
          <w:color w:val="000000" w:themeColor="text1"/>
          <w:szCs w:val="24"/>
        </w:rPr>
      </w:pPr>
      <w:r w:rsidRPr="00824BC0">
        <w:rPr>
          <w:i/>
          <w:color w:val="000000" w:themeColor="text1"/>
          <w:szCs w:val="24"/>
        </w:rPr>
        <w:t>The monthly premium contribution of employed members shall be remitted by the employer on or before the date prescribed by the Corporation.</w:t>
      </w:r>
    </w:p>
    <w:p w14:paraId="49B918AD" w14:textId="5CF49038" w:rsidR="007E4891" w:rsidRPr="00824BC0" w:rsidRDefault="007E4891" w:rsidP="007E4891">
      <w:pPr>
        <w:pStyle w:val="ListParagraph"/>
        <w:ind w:left="1080" w:right="1080"/>
        <w:jc w:val="both"/>
        <w:rPr>
          <w:i/>
          <w:color w:val="000000" w:themeColor="text1"/>
          <w:szCs w:val="24"/>
        </w:rPr>
      </w:pPr>
    </w:p>
    <w:p w14:paraId="48A8D458" w14:textId="338630A9" w:rsidR="007E4891" w:rsidRPr="00824BC0" w:rsidRDefault="007E4891" w:rsidP="007E4891">
      <w:pPr>
        <w:pStyle w:val="ListParagraph"/>
        <w:ind w:left="1080" w:right="1080"/>
        <w:jc w:val="both"/>
        <w:rPr>
          <w:i/>
          <w:color w:val="000000" w:themeColor="text1"/>
          <w:szCs w:val="24"/>
        </w:rPr>
      </w:pPr>
      <w:r w:rsidRPr="00824BC0">
        <w:rPr>
          <w:i/>
          <w:color w:val="000000" w:themeColor="text1"/>
          <w:szCs w:val="24"/>
        </w:rPr>
        <w:t>xxx</w:t>
      </w:r>
    </w:p>
    <w:p w14:paraId="3E05A2DB" w14:textId="77777777" w:rsidR="007E4891" w:rsidRPr="00824BC0" w:rsidRDefault="007E4891" w:rsidP="007E4891">
      <w:pPr>
        <w:pStyle w:val="ListParagraph"/>
        <w:ind w:left="1080" w:right="1080"/>
        <w:jc w:val="both"/>
        <w:rPr>
          <w:i/>
          <w:color w:val="000000" w:themeColor="text1"/>
          <w:szCs w:val="24"/>
        </w:rPr>
      </w:pPr>
    </w:p>
    <w:p w14:paraId="14FF048F" w14:textId="053CAD9B" w:rsidR="007E4891" w:rsidRPr="00824BC0" w:rsidRDefault="007E4891" w:rsidP="00351E85">
      <w:pPr>
        <w:pStyle w:val="ListParagraph"/>
        <w:numPr>
          <w:ilvl w:val="0"/>
          <w:numId w:val="35"/>
        </w:numPr>
        <w:ind w:right="1080"/>
        <w:jc w:val="both"/>
        <w:rPr>
          <w:i/>
          <w:iCs/>
          <w:color w:val="000000" w:themeColor="text1"/>
          <w:szCs w:val="24"/>
        </w:rPr>
      </w:pPr>
      <w:r w:rsidRPr="00824BC0">
        <w:rPr>
          <w:i/>
          <w:iCs/>
        </w:rPr>
        <w:t>For government agencies, it shall be mandatory and compulsory for the employers to include the payment of contributions in their annual appropriations. The use of said funds withheld by government agencies other than for the purpose of remitting Program contributions will hold the erring government employers liable under the pertinent provisions of the Revised Penal Code.</w:t>
      </w:r>
    </w:p>
    <w:p w14:paraId="141C564A" w14:textId="77777777" w:rsidR="008C4C5D" w:rsidRPr="00824BC0" w:rsidRDefault="008C4C5D" w:rsidP="008C4C5D">
      <w:pPr>
        <w:pStyle w:val="ListParagraph"/>
        <w:tabs>
          <w:tab w:val="left" w:pos="0"/>
          <w:tab w:val="left" w:pos="567"/>
        </w:tabs>
        <w:ind w:left="0"/>
        <w:contextualSpacing w:val="0"/>
        <w:jc w:val="both"/>
        <w:rPr>
          <w:bCs/>
          <w:i/>
          <w:iCs/>
          <w:szCs w:val="24"/>
        </w:rPr>
      </w:pPr>
    </w:p>
    <w:p w14:paraId="476D17A9" w14:textId="276DB39B" w:rsidR="008C4C5D" w:rsidRPr="00824BC0" w:rsidRDefault="008C4C5D" w:rsidP="008C4C5D">
      <w:pPr>
        <w:pStyle w:val="ListParagraph"/>
        <w:numPr>
          <w:ilvl w:val="1"/>
          <w:numId w:val="5"/>
        </w:numPr>
        <w:ind w:left="0" w:firstLine="0"/>
        <w:contextualSpacing w:val="0"/>
        <w:jc w:val="both"/>
        <w:rPr>
          <w:color w:val="000000" w:themeColor="text1"/>
        </w:rPr>
      </w:pPr>
      <w:r w:rsidRPr="00824BC0">
        <w:rPr>
          <w:bCs/>
          <w:iCs/>
          <w:szCs w:val="24"/>
        </w:rPr>
        <w:t xml:space="preserve">Meanwhile, </w:t>
      </w:r>
      <w:r w:rsidRPr="00824BC0">
        <w:rPr>
          <w:color w:val="000000" w:themeColor="text1"/>
        </w:rPr>
        <w:t xml:space="preserve">Section 3(a) of Rule VII of </w:t>
      </w:r>
      <w:r w:rsidRPr="00824BC0">
        <w:rPr>
          <w:bCs/>
          <w:color w:val="000000" w:themeColor="text1"/>
          <w:kern w:val="36"/>
        </w:rPr>
        <w:t>R</w:t>
      </w:r>
      <w:r w:rsidR="00351E85">
        <w:rPr>
          <w:bCs/>
          <w:color w:val="000000" w:themeColor="text1"/>
          <w:kern w:val="36"/>
        </w:rPr>
        <w:t>.A.</w:t>
      </w:r>
      <w:r w:rsidRPr="00824BC0">
        <w:rPr>
          <w:bCs/>
          <w:color w:val="000000" w:themeColor="text1"/>
          <w:kern w:val="36"/>
        </w:rPr>
        <w:t xml:space="preserve"> No. 9679</w:t>
      </w:r>
      <w:r w:rsidRPr="00824BC0">
        <w:rPr>
          <w:color w:val="000000" w:themeColor="text1"/>
        </w:rPr>
        <w:t xml:space="preserve"> or the “Home Development Mutual Fund Law of 2009, otherwise known </w:t>
      </w:r>
      <w:r w:rsidRPr="00824BC0">
        <w:rPr>
          <w:iCs/>
          <w:color w:val="000000" w:themeColor="text1"/>
        </w:rPr>
        <w:t>as </w:t>
      </w:r>
      <w:r w:rsidRPr="00824BC0">
        <w:rPr>
          <w:color w:val="000000" w:themeColor="text1"/>
        </w:rPr>
        <w:t>Pag-IBIG (Pagtutulungan Sa Kinabukasan: Ikaw, Bangko, Industriya at Gobyerno) Fund” states that:</w:t>
      </w:r>
    </w:p>
    <w:p w14:paraId="3F3190C7" w14:textId="77777777" w:rsidR="008C4C5D" w:rsidRPr="00824BC0" w:rsidRDefault="008C4C5D" w:rsidP="008C4C5D">
      <w:pPr>
        <w:pStyle w:val="ListParagraph"/>
        <w:jc w:val="both"/>
        <w:rPr>
          <w:color w:val="000000" w:themeColor="text1"/>
        </w:rPr>
      </w:pPr>
    </w:p>
    <w:p w14:paraId="6B8BE8B9" w14:textId="77777777" w:rsidR="008C4C5D" w:rsidRPr="00824BC0" w:rsidRDefault="008C4C5D" w:rsidP="008C4C5D">
      <w:pPr>
        <w:spacing w:after="0" w:line="240" w:lineRule="auto"/>
        <w:ind w:left="720"/>
        <w:jc w:val="both"/>
        <w:rPr>
          <w:rFonts w:ascii="Times New Roman" w:hAnsi="Times New Roman" w:cs="Times New Roman"/>
          <w:b/>
          <w:bCs/>
          <w:i/>
          <w:color w:val="000000" w:themeColor="text1"/>
          <w:sz w:val="24"/>
          <w:szCs w:val="24"/>
        </w:rPr>
      </w:pPr>
      <w:r w:rsidRPr="00824BC0">
        <w:rPr>
          <w:rFonts w:ascii="Times New Roman" w:hAnsi="Times New Roman" w:cs="Times New Roman"/>
          <w:b/>
          <w:bCs/>
          <w:i/>
          <w:color w:val="000000" w:themeColor="text1"/>
          <w:sz w:val="24"/>
          <w:szCs w:val="24"/>
        </w:rPr>
        <w:t>Section 3.</w:t>
      </w:r>
      <w:r w:rsidRPr="00824BC0">
        <w:rPr>
          <w:rFonts w:ascii="Times New Roman" w:hAnsi="Times New Roman" w:cs="Times New Roman"/>
          <w:i/>
          <w:color w:val="000000" w:themeColor="text1"/>
          <w:sz w:val="24"/>
          <w:szCs w:val="24"/>
        </w:rPr>
        <w:t> </w:t>
      </w:r>
      <w:r w:rsidRPr="00824BC0">
        <w:rPr>
          <w:rFonts w:ascii="Times New Roman" w:hAnsi="Times New Roman" w:cs="Times New Roman"/>
          <w:b/>
          <w:bCs/>
          <w:i/>
          <w:color w:val="000000" w:themeColor="text1"/>
          <w:sz w:val="24"/>
          <w:szCs w:val="24"/>
        </w:rPr>
        <w:t>Remittance of Collections.</w:t>
      </w:r>
    </w:p>
    <w:p w14:paraId="716BF784" w14:textId="77777777" w:rsidR="008C4C5D" w:rsidRPr="00824BC0" w:rsidRDefault="008C4C5D" w:rsidP="008C4C5D">
      <w:pPr>
        <w:spacing w:after="0" w:line="240" w:lineRule="auto"/>
        <w:ind w:left="720"/>
        <w:jc w:val="both"/>
        <w:rPr>
          <w:rFonts w:ascii="Times New Roman" w:hAnsi="Times New Roman" w:cs="Times New Roman"/>
          <w:i/>
          <w:color w:val="000000" w:themeColor="text1"/>
          <w:sz w:val="24"/>
          <w:szCs w:val="24"/>
        </w:rPr>
      </w:pPr>
    </w:p>
    <w:p w14:paraId="56037BF6" w14:textId="5100A393" w:rsidR="008C4C5D" w:rsidRPr="00824BC0" w:rsidRDefault="008C4C5D" w:rsidP="007E4891">
      <w:pPr>
        <w:pStyle w:val="ListParagraph"/>
        <w:numPr>
          <w:ilvl w:val="0"/>
          <w:numId w:val="33"/>
        </w:numPr>
        <w:ind w:right="1080"/>
        <w:jc w:val="both"/>
        <w:rPr>
          <w:i/>
          <w:color w:val="000000" w:themeColor="text1"/>
          <w:szCs w:val="24"/>
        </w:rPr>
      </w:pPr>
      <w:r w:rsidRPr="00824BC0">
        <w:rPr>
          <w:i/>
          <w:color w:val="000000" w:themeColor="text1"/>
          <w:szCs w:val="24"/>
        </w:rPr>
        <w:t xml:space="preserve">All employers shall remit to the Fund their contributions and the contributions of their covered employees as well as the latter’s loan amortizations or payments to the Fund, as provided for under Section 2 of this Rule, when applicable, </w:t>
      </w:r>
      <w:r w:rsidRPr="00824BC0">
        <w:rPr>
          <w:b/>
          <w:i/>
          <w:color w:val="000000" w:themeColor="text1"/>
          <w:szCs w:val="24"/>
        </w:rPr>
        <w:t>within fifteen (15) days from the date the same were collected unless another period is previously agreed upon between the employer and the Fund, or within such periods as the Fund may prescribe otherwise.</w:t>
      </w:r>
      <w:r w:rsidRPr="00824BC0">
        <w:rPr>
          <w:i/>
          <w:color w:val="000000" w:themeColor="text1"/>
          <w:szCs w:val="24"/>
        </w:rPr>
        <w:t> The Fund may prescribe a different remittance schedule for Filipinos employed by foreign based employers depending on the nature of their contracts or manner of their deployment abroad.</w:t>
      </w:r>
      <w:r w:rsidR="00086746" w:rsidRPr="00824BC0">
        <w:rPr>
          <w:i/>
          <w:color w:val="000000" w:themeColor="text1"/>
          <w:szCs w:val="24"/>
        </w:rPr>
        <w:t xml:space="preserve"> (</w:t>
      </w:r>
      <w:r w:rsidR="004C4ADC" w:rsidRPr="00824BC0">
        <w:rPr>
          <w:i/>
          <w:color w:val="000000" w:themeColor="text1"/>
          <w:szCs w:val="24"/>
        </w:rPr>
        <w:t>E</w:t>
      </w:r>
      <w:r w:rsidR="00086746" w:rsidRPr="00824BC0">
        <w:rPr>
          <w:i/>
          <w:color w:val="000000" w:themeColor="text1"/>
          <w:szCs w:val="24"/>
        </w:rPr>
        <w:t>mphasis supplied)</w:t>
      </w:r>
    </w:p>
    <w:p w14:paraId="0EDA13B0" w14:textId="79AC9328" w:rsidR="008C4C5D" w:rsidRPr="00824BC0" w:rsidRDefault="008C4C5D" w:rsidP="008C4C5D">
      <w:pPr>
        <w:spacing w:after="0"/>
        <w:ind w:right="720"/>
        <w:jc w:val="both"/>
        <w:rPr>
          <w:rFonts w:ascii="Times New Roman" w:hAnsi="Times New Roman" w:cs="Times New Roman"/>
          <w:bCs/>
          <w:iCs/>
          <w:sz w:val="24"/>
          <w:szCs w:val="24"/>
        </w:rPr>
      </w:pPr>
    </w:p>
    <w:p w14:paraId="7C24F0B0" w14:textId="0C854370" w:rsidR="00024BF0" w:rsidRPr="00824BC0" w:rsidRDefault="008C4C5D" w:rsidP="00024BF0">
      <w:pPr>
        <w:pStyle w:val="ListParagraph"/>
        <w:numPr>
          <w:ilvl w:val="1"/>
          <w:numId w:val="5"/>
        </w:numPr>
        <w:ind w:left="0" w:firstLine="0"/>
        <w:contextualSpacing w:val="0"/>
        <w:jc w:val="both"/>
        <w:rPr>
          <w:bCs/>
          <w:iCs/>
          <w:szCs w:val="24"/>
        </w:rPr>
      </w:pPr>
      <w:r w:rsidRPr="00824BC0">
        <w:rPr>
          <w:bCs/>
          <w:iCs/>
          <w:szCs w:val="24"/>
        </w:rPr>
        <w:t>Analysis of the Due to P</w:t>
      </w:r>
      <w:r w:rsidR="00196742" w:rsidRPr="00824BC0">
        <w:rPr>
          <w:bCs/>
          <w:iCs/>
          <w:szCs w:val="24"/>
        </w:rPr>
        <w:t>hilHealth</w:t>
      </w:r>
      <w:r w:rsidRPr="00824BC0">
        <w:rPr>
          <w:bCs/>
          <w:iCs/>
          <w:szCs w:val="24"/>
        </w:rPr>
        <w:t xml:space="preserve"> and Due to Pag-IBIG accounts as of December 31, 2021 showed that </w:t>
      </w:r>
      <w:r w:rsidR="00196742" w:rsidRPr="00824BC0">
        <w:rPr>
          <w:bCs/>
          <w:iCs/>
          <w:szCs w:val="24"/>
        </w:rPr>
        <w:t xml:space="preserve">BASC </w:t>
      </w:r>
      <w:r w:rsidR="00024BF0" w:rsidRPr="00824BC0">
        <w:rPr>
          <w:bCs/>
          <w:iCs/>
          <w:szCs w:val="24"/>
        </w:rPr>
        <w:t xml:space="preserve">has substantially complied with the withholding of monthly contributions and timely remittance of the same to the corresponding regulatory agencies, as presented </w:t>
      </w:r>
      <w:r w:rsidR="00351E85">
        <w:rPr>
          <w:bCs/>
          <w:iCs/>
          <w:szCs w:val="24"/>
        </w:rPr>
        <w:t>in</w:t>
      </w:r>
      <w:r w:rsidR="00024BF0" w:rsidRPr="00824BC0">
        <w:rPr>
          <w:bCs/>
          <w:iCs/>
          <w:szCs w:val="24"/>
        </w:rPr>
        <w:t xml:space="preserve"> the following tables:</w:t>
      </w:r>
    </w:p>
    <w:p w14:paraId="59FCE215" w14:textId="557A3291" w:rsidR="00024BF0" w:rsidRPr="00824BC0" w:rsidRDefault="00024BF0" w:rsidP="00024BF0">
      <w:pPr>
        <w:pStyle w:val="ListParagraph"/>
        <w:ind w:left="0"/>
        <w:contextualSpacing w:val="0"/>
        <w:jc w:val="both"/>
        <w:rPr>
          <w:bCs/>
          <w:iCs/>
          <w:szCs w:val="24"/>
        </w:rPr>
      </w:pPr>
    </w:p>
    <w:p w14:paraId="4BF2D6F1" w14:textId="6A180697" w:rsidR="00024BF0" w:rsidRPr="00824BC0" w:rsidRDefault="00024BF0" w:rsidP="00024BF0">
      <w:pPr>
        <w:spacing w:after="0" w:line="240" w:lineRule="auto"/>
        <w:ind w:firstLine="720"/>
        <w:jc w:val="both"/>
        <w:rPr>
          <w:rFonts w:ascii="Times New Roman" w:hAnsi="Times New Roman" w:cs="Times New Roman"/>
          <w:bCs/>
          <w:i/>
          <w:sz w:val="24"/>
          <w:szCs w:val="24"/>
        </w:rPr>
      </w:pPr>
      <w:r w:rsidRPr="00824BC0">
        <w:rPr>
          <w:rFonts w:ascii="Times New Roman" w:hAnsi="Times New Roman" w:cs="Times New Roman"/>
          <w:bCs/>
          <w:i/>
          <w:sz w:val="24"/>
          <w:szCs w:val="24"/>
        </w:rPr>
        <w:t xml:space="preserve">a.  Due to </w:t>
      </w:r>
      <w:r w:rsidR="00196742" w:rsidRPr="00824BC0">
        <w:rPr>
          <w:rFonts w:ascii="Times New Roman" w:hAnsi="Times New Roman" w:cs="Times New Roman"/>
          <w:bCs/>
          <w:i/>
          <w:sz w:val="24"/>
          <w:szCs w:val="24"/>
        </w:rPr>
        <w:t xml:space="preserve">PhilHealth </w:t>
      </w:r>
    </w:p>
    <w:p w14:paraId="740A2CB9" w14:textId="1E672C5E" w:rsidR="00024BF0" w:rsidRPr="00824BC0" w:rsidRDefault="00024BF0" w:rsidP="00024BF0">
      <w:pPr>
        <w:spacing w:after="0" w:line="240" w:lineRule="auto"/>
        <w:jc w:val="both"/>
        <w:rPr>
          <w:rFonts w:ascii="Times New Roman" w:hAnsi="Times New Roman" w:cs="Times New Roman"/>
          <w:bCs/>
          <w:i/>
          <w:sz w:val="24"/>
          <w:szCs w:val="24"/>
        </w:rPr>
      </w:pPr>
    </w:p>
    <w:tbl>
      <w:tblPr>
        <w:tblW w:w="8635" w:type="dxa"/>
        <w:tblLook w:val="04A0" w:firstRow="1" w:lastRow="0" w:firstColumn="1" w:lastColumn="0" w:noHBand="0" w:noVBand="1"/>
      </w:tblPr>
      <w:tblGrid>
        <w:gridCol w:w="1345"/>
        <w:gridCol w:w="1530"/>
        <w:gridCol w:w="1440"/>
        <w:gridCol w:w="1530"/>
        <w:gridCol w:w="1440"/>
        <w:gridCol w:w="1350"/>
      </w:tblGrid>
      <w:tr w:rsidR="00FB76DF" w:rsidRPr="00824BC0" w14:paraId="7BB85535" w14:textId="77777777" w:rsidTr="009D7477">
        <w:trPr>
          <w:trHeight w:val="600"/>
          <w:tblHeader/>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946CE" w14:textId="77777777" w:rsidR="00FB76DF" w:rsidRPr="00824BC0" w:rsidRDefault="00FB76DF" w:rsidP="00D56FEC">
            <w:pPr>
              <w:spacing w:after="0" w:line="240" w:lineRule="auto"/>
              <w:jc w:val="center"/>
              <w:rPr>
                <w:rFonts w:ascii="Times New Roman" w:eastAsia="Times New Roman" w:hAnsi="Times New Roman" w:cs="Times New Roman"/>
                <w:b/>
                <w:bCs/>
                <w:color w:val="000000"/>
                <w:sz w:val="24"/>
                <w:szCs w:val="24"/>
                <w:lang w:eastAsia="en-PH"/>
              </w:rPr>
            </w:pPr>
            <w:r w:rsidRPr="00824BC0">
              <w:rPr>
                <w:rFonts w:ascii="Times New Roman" w:eastAsia="Times New Roman" w:hAnsi="Times New Roman" w:cs="Times New Roman"/>
                <w:b/>
                <w:bCs/>
                <w:color w:val="000000"/>
                <w:sz w:val="24"/>
                <w:szCs w:val="24"/>
                <w:lang w:eastAsia="en-PH"/>
              </w:rPr>
              <w:t xml:space="preserve">  General Fund 101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72E203A" w14:textId="77777777" w:rsidR="00FB76DF" w:rsidRPr="00824BC0" w:rsidRDefault="00FB76DF" w:rsidP="00D56FEC">
            <w:pPr>
              <w:spacing w:after="0" w:line="240" w:lineRule="auto"/>
              <w:jc w:val="center"/>
              <w:rPr>
                <w:rFonts w:ascii="Times New Roman" w:eastAsia="Times New Roman" w:hAnsi="Times New Roman" w:cs="Times New Roman"/>
                <w:b/>
                <w:bCs/>
                <w:color w:val="000000"/>
                <w:sz w:val="24"/>
                <w:szCs w:val="24"/>
                <w:lang w:eastAsia="en-PH"/>
              </w:rPr>
            </w:pPr>
            <w:r w:rsidRPr="00824BC0">
              <w:rPr>
                <w:rFonts w:ascii="Times New Roman" w:eastAsia="Times New Roman" w:hAnsi="Times New Roman" w:cs="Times New Roman"/>
                <w:b/>
                <w:bCs/>
                <w:color w:val="000000"/>
                <w:sz w:val="24"/>
                <w:szCs w:val="24"/>
                <w:lang w:eastAsia="en-PH"/>
              </w:rPr>
              <w:t xml:space="preserve"> Beginning Balance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F9757A4" w14:textId="77777777" w:rsidR="00FB76DF" w:rsidRPr="00824BC0" w:rsidRDefault="00FB76DF" w:rsidP="00D56FEC">
            <w:pPr>
              <w:spacing w:after="0" w:line="240" w:lineRule="auto"/>
              <w:jc w:val="center"/>
              <w:rPr>
                <w:rFonts w:ascii="Times New Roman" w:eastAsia="Times New Roman" w:hAnsi="Times New Roman" w:cs="Times New Roman"/>
                <w:b/>
                <w:bCs/>
                <w:color w:val="000000"/>
                <w:sz w:val="24"/>
                <w:szCs w:val="24"/>
                <w:lang w:eastAsia="en-PH"/>
              </w:rPr>
            </w:pPr>
            <w:r w:rsidRPr="00824BC0">
              <w:rPr>
                <w:rFonts w:ascii="Times New Roman" w:eastAsia="Times New Roman" w:hAnsi="Times New Roman" w:cs="Times New Roman"/>
                <w:b/>
                <w:bCs/>
                <w:color w:val="000000"/>
                <w:sz w:val="24"/>
                <w:szCs w:val="24"/>
                <w:lang w:eastAsia="en-PH"/>
              </w:rPr>
              <w:t xml:space="preserve"> Amount Withheld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C0A111C" w14:textId="0DFA2482" w:rsidR="00FB76DF" w:rsidRPr="00824BC0" w:rsidRDefault="00FB76DF" w:rsidP="00D56FEC">
            <w:pPr>
              <w:spacing w:after="0" w:line="240" w:lineRule="auto"/>
              <w:jc w:val="center"/>
              <w:rPr>
                <w:rFonts w:ascii="Times New Roman" w:eastAsia="Times New Roman" w:hAnsi="Times New Roman" w:cs="Times New Roman"/>
                <w:b/>
                <w:bCs/>
                <w:color w:val="000000"/>
                <w:sz w:val="24"/>
                <w:szCs w:val="24"/>
                <w:lang w:eastAsia="en-PH"/>
              </w:rPr>
            </w:pPr>
            <w:r w:rsidRPr="00824BC0">
              <w:rPr>
                <w:rFonts w:ascii="Times New Roman" w:eastAsia="Times New Roman" w:hAnsi="Times New Roman" w:cs="Times New Roman"/>
                <w:b/>
                <w:bCs/>
                <w:color w:val="000000"/>
                <w:sz w:val="24"/>
                <w:szCs w:val="24"/>
                <w:lang w:eastAsia="en-PH"/>
              </w:rPr>
              <w:t xml:space="preserve"> Total</w:t>
            </w:r>
            <w:r w:rsidR="00196742" w:rsidRPr="00824BC0">
              <w:rPr>
                <w:rFonts w:ascii="Times New Roman" w:eastAsia="Times New Roman" w:hAnsi="Times New Roman" w:cs="Times New Roman"/>
                <w:b/>
                <w:bCs/>
                <w:color w:val="000000"/>
                <w:sz w:val="24"/>
                <w:szCs w:val="24"/>
                <w:lang w:eastAsia="en-PH"/>
              </w:rPr>
              <w:t xml:space="preserve"> For Remittance </w:t>
            </w:r>
            <w:r w:rsidRPr="00824BC0">
              <w:rPr>
                <w:rFonts w:ascii="Times New Roman" w:eastAsia="Times New Roman" w:hAnsi="Times New Roman" w:cs="Times New Roman"/>
                <w:b/>
                <w:bCs/>
                <w:color w:val="000000"/>
                <w:sz w:val="24"/>
                <w:szCs w:val="24"/>
                <w:lang w:eastAsia="en-PH"/>
              </w:rPr>
              <w:t xml:space="preserve">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93F338B" w14:textId="77777777" w:rsidR="00FB76DF" w:rsidRPr="00824BC0" w:rsidRDefault="00FB76DF" w:rsidP="00D56FEC">
            <w:pPr>
              <w:spacing w:after="0" w:line="240" w:lineRule="auto"/>
              <w:jc w:val="center"/>
              <w:rPr>
                <w:rFonts w:ascii="Times New Roman" w:eastAsia="Times New Roman" w:hAnsi="Times New Roman" w:cs="Times New Roman"/>
                <w:b/>
                <w:bCs/>
                <w:color w:val="000000"/>
                <w:sz w:val="24"/>
                <w:szCs w:val="24"/>
                <w:lang w:eastAsia="en-PH"/>
              </w:rPr>
            </w:pPr>
            <w:r w:rsidRPr="00824BC0">
              <w:rPr>
                <w:rFonts w:ascii="Times New Roman" w:eastAsia="Times New Roman" w:hAnsi="Times New Roman" w:cs="Times New Roman"/>
                <w:b/>
                <w:bCs/>
                <w:color w:val="000000"/>
                <w:sz w:val="24"/>
                <w:szCs w:val="24"/>
                <w:lang w:eastAsia="en-PH"/>
              </w:rPr>
              <w:t xml:space="preserve"> Amount Remitted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8A92334" w14:textId="77777777" w:rsidR="00FB76DF" w:rsidRPr="00824BC0" w:rsidRDefault="00FB76DF" w:rsidP="00D56FEC">
            <w:pPr>
              <w:spacing w:after="0" w:line="240" w:lineRule="auto"/>
              <w:jc w:val="center"/>
              <w:rPr>
                <w:rFonts w:ascii="Times New Roman" w:eastAsia="Times New Roman" w:hAnsi="Times New Roman" w:cs="Times New Roman"/>
                <w:b/>
                <w:bCs/>
                <w:color w:val="000000"/>
                <w:sz w:val="24"/>
                <w:szCs w:val="24"/>
                <w:lang w:eastAsia="en-PH"/>
              </w:rPr>
            </w:pPr>
            <w:r w:rsidRPr="00824BC0">
              <w:rPr>
                <w:rFonts w:ascii="Times New Roman" w:eastAsia="Times New Roman" w:hAnsi="Times New Roman" w:cs="Times New Roman"/>
                <w:b/>
                <w:bCs/>
                <w:color w:val="000000"/>
                <w:sz w:val="24"/>
                <w:szCs w:val="24"/>
                <w:lang w:eastAsia="en-PH"/>
              </w:rPr>
              <w:t xml:space="preserve"> Ending Balance </w:t>
            </w:r>
          </w:p>
        </w:tc>
      </w:tr>
      <w:tr w:rsidR="00FB76DF" w:rsidRPr="00824BC0" w14:paraId="7AF0E757" w14:textId="77777777" w:rsidTr="00D56FEC">
        <w:trPr>
          <w:trHeight w:val="300"/>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69A9D1DB" w14:textId="77777777" w:rsidR="00FB76DF" w:rsidRPr="00824BC0" w:rsidRDefault="00FB76DF" w:rsidP="00D56FEC">
            <w:pPr>
              <w:spacing w:after="0" w:line="240" w:lineRule="auto"/>
              <w:jc w:val="center"/>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2021</w:t>
            </w:r>
          </w:p>
        </w:tc>
        <w:tc>
          <w:tcPr>
            <w:tcW w:w="1530" w:type="dxa"/>
            <w:tcBorders>
              <w:top w:val="nil"/>
              <w:left w:val="nil"/>
              <w:bottom w:val="single" w:sz="4" w:space="0" w:color="auto"/>
              <w:right w:val="single" w:sz="4" w:space="0" w:color="auto"/>
            </w:tcBorders>
            <w:shd w:val="clear" w:color="auto" w:fill="auto"/>
            <w:vAlign w:val="center"/>
            <w:hideMark/>
          </w:tcPr>
          <w:p w14:paraId="32E4A549" w14:textId="77777777" w:rsidR="00FB76DF" w:rsidRPr="00824BC0" w:rsidRDefault="00FB76DF" w:rsidP="00D56FEC">
            <w:pPr>
              <w:spacing w:after="0" w:line="240" w:lineRule="auto"/>
              <w:jc w:val="center"/>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w:t>
            </w:r>
          </w:p>
        </w:tc>
        <w:tc>
          <w:tcPr>
            <w:tcW w:w="1440" w:type="dxa"/>
            <w:tcBorders>
              <w:top w:val="nil"/>
              <w:left w:val="nil"/>
              <w:bottom w:val="single" w:sz="4" w:space="0" w:color="auto"/>
              <w:right w:val="single" w:sz="4" w:space="0" w:color="auto"/>
            </w:tcBorders>
            <w:shd w:val="clear" w:color="auto" w:fill="auto"/>
            <w:vAlign w:val="center"/>
            <w:hideMark/>
          </w:tcPr>
          <w:p w14:paraId="08A5BC7C" w14:textId="77777777" w:rsidR="00FB76DF" w:rsidRPr="00824BC0" w:rsidRDefault="00FB76DF" w:rsidP="00D56FEC">
            <w:pPr>
              <w:spacing w:after="0" w:line="240" w:lineRule="auto"/>
              <w:jc w:val="center"/>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w:t>
            </w:r>
          </w:p>
        </w:tc>
        <w:tc>
          <w:tcPr>
            <w:tcW w:w="1530" w:type="dxa"/>
            <w:tcBorders>
              <w:top w:val="nil"/>
              <w:left w:val="nil"/>
              <w:bottom w:val="single" w:sz="4" w:space="0" w:color="auto"/>
              <w:right w:val="single" w:sz="4" w:space="0" w:color="auto"/>
            </w:tcBorders>
            <w:shd w:val="clear" w:color="auto" w:fill="auto"/>
            <w:vAlign w:val="center"/>
            <w:hideMark/>
          </w:tcPr>
          <w:p w14:paraId="593CA827" w14:textId="77777777" w:rsidR="00FB76DF" w:rsidRPr="00824BC0" w:rsidRDefault="00FB76DF" w:rsidP="00D56FEC">
            <w:pPr>
              <w:spacing w:after="0" w:line="240" w:lineRule="auto"/>
              <w:jc w:val="center"/>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w:t>
            </w:r>
          </w:p>
        </w:tc>
        <w:tc>
          <w:tcPr>
            <w:tcW w:w="1440" w:type="dxa"/>
            <w:tcBorders>
              <w:top w:val="nil"/>
              <w:left w:val="nil"/>
              <w:bottom w:val="single" w:sz="4" w:space="0" w:color="auto"/>
              <w:right w:val="single" w:sz="4" w:space="0" w:color="auto"/>
            </w:tcBorders>
            <w:shd w:val="clear" w:color="auto" w:fill="auto"/>
            <w:vAlign w:val="center"/>
            <w:hideMark/>
          </w:tcPr>
          <w:p w14:paraId="070BC879" w14:textId="77777777" w:rsidR="00FB76DF" w:rsidRPr="00824BC0" w:rsidRDefault="00FB76DF" w:rsidP="00D56FEC">
            <w:pPr>
              <w:spacing w:after="0" w:line="240" w:lineRule="auto"/>
              <w:jc w:val="center"/>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w:t>
            </w:r>
          </w:p>
        </w:tc>
        <w:tc>
          <w:tcPr>
            <w:tcW w:w="1350" w:type="dxa"/>
            <w:tcBorders>
              <w:top w:val="nil"/>
              <w:left w:val="nil"/>
              <w:bottom w:val="single" w:sz="4" w:space="0" w:color="auto"/>
              <w:right w:val="single" w:sz="4" w:space="0" w:color="auto"/>
            </w:tcBorders>
            <w:shd w:val="clear" w:color="auto" w:fill="auto"/>
            <w:vAlign w:val="center"/>
            <w:hideMark/>
          </w:tcPr>
          <w:p w14:paraId="6A167770" w14:textId="77777777" w:rsidR="00FB76DF" w:rsidRPr="00824BC0" w:rsidRDefault="00FB76DF" w:rsidP="00D56FEC">
            <w:pPr>
              <w:spacing w:after="0" w:line="240" w:lineRule="auto"/>
              <w:jc w:val="center"/>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w:t>
            </w:r>
          </w:p>
        </w:tc>
      </w:tr>
      <w:tr w:rsidR="00FB76DF" w:rsidRPr="00824BC0" w14:paraId="57FAC263" w14:textId="77777777" w:rsidTr="00D56FEC">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06E7E4C7" w14:textId="77777777" w:rsidR="00FB76DF" w:rsidRPr="00824BC0" w:rsidRDefault="00FB76DF" w:rsidP="00D56FEC">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January </w:t>
            </w:r>
          </w:p>
        </w:tc>
        <w:tc>
          <w:tcPr>
            <w:tcW w:w="1530" w:type="dxa"/>
            <w:tcBorders>
              <w:top w:val="nil"/>
              <w:left w:val="nil"/>
              <w:bottom w:val="single" w:sz="4" w:space="0" w:color="auto"/>
              <w:right w:val="single" w:sz="4" w:space="0" w:color="auto"/>
            </w:tcBorders>
            <w:shd w:val="clear" w:color="auto" w:fill="auto"/>
            <w:noWrap/>
            <w:vAlign w:val="bottom"/>
            <w:hideMark/>
          </w:tcPr>
          <w:p w14:paraId="094056A0"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0.00</w:t>
            </w:r>
          </w:p>
        </w:tc>
        <w:tc>
          <w:tcPr>
            <w:tcW w:w="1440" w:type="dxa"/>
            <w:tcBorders>
              <w:top w:val="nil"/>
              <w:left w:val="nil"/>
              <w:bottom w:val="single" w:sz="4" w:space="0" w:color="auto"/>
              <w:right w:val="single" w:sz="4" w:space="0" w:color="auto"/>
            </w:tcBorders>
            <w:shd w:val="clear" w:color="auto" w:fill="auto"/>
            <w:noWrap/>
            <w:vAlign w:val="bottom"/>
            <w:hideMark/>
          </w:tcPr>
          <w:p w14:paraId="0447F1AD"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90,807.51 </w:t>
            </w:r>
          </w:p>
        </w:tc>
        <w:tc>
          <w:tcPr>
            <w:tcW w:w="1530" w:type="dxa"/>
            <w:tcBorders>
              <w:top w:val="nil"/>
              <w:left w:val="nil"/>
              <w:bottom w:val="single" w:sz="4" w:space="0" w:color="auto"/>
              <w:right w:val="single" w:sz="4" w:space="0" w:color="auto"/>
            </w:tcBorders>
            <w:shd w:val="clear" w:color="auto" w:fill="auto"/>
            <w:noWrap/>
            <w:vAlign w:val="bottom"/>
            <w:hideMark/>
          </w:tcPr>
          <w:p w14:paraId="570F1A24"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90,807.51 </w:t>
            </w:r>
          </w:p>
        </w:tc>
        <w:tc>
          <w:tcPr>
            <w:tcW w:w="1440" w:type="dxa"/>
            <w:tcBorders>
              <w:top w:val="nil"/>
              <w:left w:val="nil"/>
              <w:bottom w:val="single" w:sz="4" w:space="0" w:color="auto"/>
              <w:right w:val="single" w:sz="4" w:space="0" w:color="auto"/>
            </w:tcBorders>
            <w:shd w:val="clear" w:color="auto" w:fill="auto"/>
            <w:noWrap/>
            <w:vAlign w:val="bottom"/>
            <w:hideMark/>
          </w:tcPr>
          <w:p w14:paraId="796ABBEE"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90,807.51 </w:t>
            </w:r>
          </w:p>
        </w:tc>
        <w:tc>
          <w:tcPr>
            <w:tcW w:w="1350" w:type="dxa"/>
            <w:tcBorders>
              <w:top w:val="nil"/>
              <w:left w:val="nil"/>
              <w:bottom w:val="single" w:sz="4" w:space="0" w:color="auto"/>
              <w:right w:val="single" w:sz="4" w:space="0" w:color="auto"/>
            </w:tcBorders>
            <w:shd w:val="clear" w:color="auto" w:fill="auto"/>
            <w:noWrap/>
            <w:vAlign w:val="bottom"/>
            <w:hideMark/>
          </w:tcPr>
          <w:p w14:paraId="0EB88609"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0.00</w:t>
            </w:r>
          </w:p>
        </w:tc>
      </w:tr>
      <w:tr w:rsidR="00FB76DF" w:rsidRPr="00824BC0" w14:paraId="4FE1563B" w14:textId="77777777" w:rsidTr="00D56FEC">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4A0035DE" w14:textId="77777777" w:rsidR="00FB76DF" w:rsidRPr="00824BC0" w:rsidRDefault="00FB76DF" w:rsidP="00D56FEC">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February </w:t>
            </w:r>
          </w:p>
        </w:tc>
        <w:tc>
          <w:tcPr>
            <w:tcW w:w="1530" w:type="dxa"/>
            <w:tcBorders>
              <w:top w:val="nil"/>
              <w:left w:val="nil"/>
              <w:bottom w:val="single" w:sz="4" w:space="0" w:color="auto"/>
              <w:right w:val="single" w:sz="4" w:space="0" w:color="auto"/>
            </w:tcBorders>
            <w:shd w:val="clear" w:color="auto" w:fill="auto"/>
            <w:noWrap/>
            <w:vAlign w:val="bottom"/>
            <w:hideMark/>
          </w:tcPr>
          <w:p w14:paraId="051F60B1"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1FCD0E04"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90,798.24 </w:t>
            </w:r>
          </w:p>
        </w:tc>
        <w:tc>
          <w:tcPr>
            <w:tcW w:w="1530" w:type="dxa"/>
            <w:tcBorders>
              <w:top w:val="nil"/>
              <w:left w:val="nil"/>
              <w:bottom w:val="single" w:sz="4" w:space="0" w:color="auto"/>
              <w:right w:val="single" w:sz="4" w:space="0" w:color="auto"/>
            </w:tcBorders>
            <w:shd w:val="clear" w:color="auto" w:fill="auto"/>
            <w:noWrap/>
            <w:vAlign w:val="bottom"/>
            <w:hideMark/>
          </w:tcPr>
          <w:p w14:paraId="189F6D46"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90,798.24 </w:t>
            </w:r>
          </w:p>
        </w:tc>
        <w:tc>
          <w:tcPr>
            <w:tcW w:w="1440" w:type="dxa"/>
            <w:tcBorders>
              <w:top w:val="nil"/>
              <w:left w:val="nil"/>
              <w:bottom w:val="single" w:sz="4" w:space="0" w:color="auto"/>
              <w:right w:val="single" w:sz="4" w:space="0" w:color="auto"/>
            </w:tcBorders>
            <w:shd w:val="clear" w:color="auto" w:fill="auto"/>
            <w:noWrap/>
            <w:vAlign w:val="bottom"/>
            <w:hideMark/>
          </w:tcPr>
          <w:p w14:paraId="372FC449"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90,798.24 </w:t>
            </w:r>
          </w:p>
        </w:tc>
        <w:tc>
          <w:tcPr>
            <w:tcW w:w="1350" w:type="dxa"/>
            <w:tcBorders>
              <w:top w:val="nil"/>
              <w:left w:val="nil"/>
              <w:bottom w:val="single" w:sz="4" w:space="0" w:color="auto"/>
              <w:right w:val="single" w:sz="4" w:space="0" w:color="auto"/>
            </w:tcBorders>
            <w:shd w:val="clear" w:color="auto" w:fill="auto"/>
            <w:noWrap/>
            <w:vAlign w:val="bottom"/>
            <w:hideMark/>
          </w:tcPr>
          <w:p w14:paraId="3E8A04A7"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r>
      <w:tr w:rsidR="00FB76DF" w:rsidRPr="00824BC0" w14:paraId="1E759716" w14:textId="77777777" w:rsidTr="00D56FEC">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12B5EDED" w14:textId="77777777" w:rsidR="00FB76DF" w:rsidRPr="00824BC0" w:rsidRDefault="00FB76DF" w:rsidP="00D56FEC">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March </w:t>
            </w:r>
          </w:p>
        </w:tc>
        <w:tc>
          <w:tcPr>
            <w:tcW w:w="1530" w:type="dxa"/>
            <w:tcBorders>
              <w:top w:val="nil"/>
              <w:left w:val="nil"/>
              <w:bottom w:val="single" w:sz="4" w:space="0" w:color="auto"/>
              <w:right w:val="single" w:sz="4" w:space="0" w:color="auto"/>
            </w:tcBorders>
            <w:shd w:val="clear" w:color="auto" w:fill="auto"/>
            <w:noWrap/>
            <w:vAlign w:val="bottom"/>
            <w:hideMark/>
          </w:tcPr>
          <w:p w14:paraId="6875646D"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7A9AA6CD"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93,296.82 </w:t>
            </w:r>
          </w:p>
        </w:tc>
        <w:tc>
          <w:tcPr>
            <w:tcW w:w="1530" w:type="dxa"/>
            <w:tcBorders>
              <w:top w:val="nil"/>
              <w:left w:val="nil"/>
              <w:bottom w:val="single" w:sz="4" w:space="0" w:color="auto"/>
              <w:right w:val="single" w:sz="4" w:space="0" w:color="auto"/>
            </w:tcBorders>
            <w:shd w:val="clear" w:color="auto" w:fill="auto"/>
            <w:noWrap/>
            <w:vAlign w:val="bottom"/>
            <w:hideMark/>
          </w:tcPr>
          <w:p w14:paraId="19FDF452"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93,296.82 </w:t>
            </w:r>
          </w:p>
        </w:tc>
        <w:tc>
          <w:tcPr>
            <w:tcW w:w="1440" w:type="dxa"/>
            <w:tcBorders>
              <w:top w:val="nil"/>
              <w:left w:val="nil"/>
              <w:bottom w:val="single" w:sz="4" w:space="0" w:color="auto"/>
              <w:right w:val="single" w:sz="4" w:space="0" w:color="auto"/>
            </w:tcBorders>
            <w:shd w:val="clear" w:color="auto" w:fill="auto"/>
            <w:noWrap/>
            <w:vAlign w:val="bottom"/>
            <w:hideMark/>
          </w:tcPr>
          <w:p w14:paraId="3E92AC5B"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90,561.36 </w:t>
            </w:r>
          </w:p>
        </w:tc>
        <w:tc>
          <w:tcPr>
            <w:tcW w:w="1350" w:type="dxa"/>
            <w:tcBorders>
              <w:top w:val="nil"/>
              <w:left w:val="nil"/>
              <w:bottom w:val="single" w:sz="4" w:space="0" w:color="auto"/>
              <w:right w:val="single" w:sz="4" w:space="0" w:color="auto"/>
            </w:tcBorders>
            <w:shd w:val="clear" w:color="auto" w:fill="auto"/>
            <w:noWrap/>
            <w:vAlign w:val="bottom"/>
            <w:hideMark/>
          </w:tcPr>
          <w:p w14:paraId="1BEAEC3D"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2,735.46 </w:t>
            </w:r>
          </w:p>
        </w:tc>
      </w:tr>
      <w:tr w:rsidR="00FB76DF" w:rsidRPr="00824BC0" w14:paraId="0B75A93E" w14:textId="77777777" w:rsidTr="00D56FEC">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2031DFF1" w14:textId="77777777" w:rsidR="00FB76DF" w:rsidRPr="00824BC0" w:rsidRDefault="00FB76DF" w:rsidP="00D56FEC">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April </w:t>
            </w:r>
          </w:p>
        </w:tc>
        <w:tc>
          <w:tcPr>
            <w:tcW w:w="1530" w:type="dxa"/>
            <w:tcBorders>
              <w:top w:val="nil"/>
              <w:left w:val="nil"/>
              <w:bottom w:val="single" w:sz="4" w:space="0" w:color="auto"/>
              <w:right w:val="single" w:sz="4" w:space="0" w:color="auto"/>
            </w:tcBorders>
            <w:shd w:val="clear" w:color="auto" w:fill="auto"/>
            <w:noWrap/>
            <w:vAlign w:val="bottom"/>
            <w:hideMark/>
          </w:tcPr>
          <w:p w14:paraId="3468D5D3"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2,735.46 </w:t>
            </w:r>
          </w:p>
        </w:tc>
        <w:tc>
          <w:tcPr>
            <w:tcW w:w="1440" w:type="dxa"/>
            <w:tcBorders>
              <w:top w:val="nil"/>
              <w:left w:val="nil"/>
              <w:bottom w:val="single" w:sz="4" w:space="0" w:color="auto"/>
              <w:right w:val="single" w:sz="4" w:space="0" w:color="auto"/>
            </w:tcBorders>
            <w:shd w:val="clear" w:color="auto" w:fill="auto"/>
            <w:noWrap/>
            <w:vAlign w:val="bottom"/>
            <w:hideMark/>
          </w:tcPr>
          <w:p w14:paraId="34DFDF1D"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89,094.24 </w:t>
            </w:r>
          </w:p>
        </w:tc>
        <w:tc>
          <w:tcPr>
            <w:tcW w:w="1530" w:type="dxa"/>
            <w:tcBorders>
              <w:top w:val="nil"/>
              <w:left w:val="nil"/>
              <w:bottom w:val="single" w:sz="4" w:space="0" w:color="auto"/>
              <w:right w:val="single" w:sz="4" w:space="0" w:color="auto"/>
            </w:tcBorders>
            <w:shd w:val="clear" w:color="auto" w:fill="auto"/>
            <w:noWrap/>
            <w:vAlign w:val="bottom"/>
            <w:hideMark/>
          </w:tcPr>
          <w:p w14:paraId="0B7F1EC0"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91,829.70 </w:t>
            </w:r>
          </w:p>
        </w:tc>
        <w:tc>
          <w:tcPr>
            <w:tcW w:w="1440" w:type="dxa"/>
            <w:tcBorders>
              <w:top w:val="nil"/>
              <w:left w:val="nil"/>
              <w:bottom w:val="single" w:sz="4" w:space="0" w:color="auto"/>
              <w:right w:val="single" w:sz="4" w:space="0" w:color="auto"/>
            </w:tcBorders>
            <w:shd w:val="clear" w:color="auto" w:fill="auto"/>
            <w:noWrap/>
            <w:vAlign w:val="bottom"/>
            <w:hideMark/>
          </w:tcPr>
          <w:p w14:paraId="26CB5C9B"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91,438.94 </w:t>
            </w:r>
          </w:p>
        </w:tc>
        <w:tc>
          <w:tcPr>
            <w:tcW w:w="1350" w:type="dxa"/>
            <w:tcBorders>
              <w:top w:val="nil"/>
              <w:left w:val="nil"/>
              <w:bottom w:val="single" w:sz="4" w:space="0" w:color="auto"/>
              <w:right w:val="single" w:sz="4" w:space="0" w:color="auto"/>
            </w:tcBorders>
            <w:shd w:val="clear" w:color="auto" w:fill="auto"/>
            <w:noWrap/>
            <w:vAlign w:val="bottom"/>
            <w:hideMark/>
          </w:tcPr>
          <w:p w14:paraId="62AC6A44"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390.76 </w:t>
            </w:r>
          </w:p>
        </w:tc>
      </w:tr>
      <w:tr w:rsidR="00FB76DF" w:rsidRPr="00824BC0" w14:paraId="65E74F5B" w14:textId="77777777" w:rsidTr="00D56FEC">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3BEA70A3" w14:textId="77777777" w:rsidR="00FB76DF" w:rsidRPr="00824BC0" w:rsidRDefault="00FB76DF" w:rsidP="00D56FEC">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lastRenderedPageBreak/>
              <w:t xml:space="preserve">May </w:t>
            </w:r>
          </w:p>
        </w:tc>
        <w:tc>
          <w:tcPr>
            <w:tcW w:w="1530" w:type="dxa"/>
            <w:tcBorders>
              <w:top w:val="nil"/>
              <w:left w:val="nil"/>
              <w:bottom w:val="single" w:sz="4" w:space="0" w:color="auto"/>
              <w:right w:val="single" w:sz="4" w:space="0" w:color="auto"/>
            </w:tcBorders>
            <w:shd w:val="clear" w:color="auto" w:fill="auto"/>
            <w:noWrap/>
            <w:vAlign w:val="bottom"/>
            <w:hideMark/>
          </w:tcPr>
          <w:p w14:paraId="2BEFF123"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390.76 </w:t>
            </w:r>
          </w:p>
        </w:tc>
        <w:tc>
          <w:tcPr>
            <w:tcW w:w="1440" w:type="dxa"/>
            <w:tcBorders>
              <w:top w:val="nil"/>
              <w:left w:val="nil"/>
              <w:bottom w:val="single" w:sz="4" w:space="0" w:color="auto"/>
              <w:right w:val="single" w:sz="4" w:space="0" w:color="auto"/>
            </w:tcBorders>
            <w:shd w:val="clear" w:color="auto" w:fill="auto"/>
            <w:noWrap/>
            <w:vAlign w:val="bottom"/>
            <w:hideMark/>
          </w:tcPr>
          <w:p w14:paraId="2F028FFA"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91,111.42 </w:t>
            </w:r>
          </w:p>
        </w:tc>
        <w:tc>
          <w:tcPr>
            <w:tcW w:w="1530" w:type="dxa"/>
            <w:tcBorders>
              <w:top w:val="nil"/>
              <w:left w:val="nil"/>
              <w:bottom w:val="single" w:sz="4" w:space="0" w:color="auto"/>
              <w:right w:val="single" w:sz="4" w:space="0" w:color="auto"/>
            </w:tcBorders>
            <w:shd w:val="clear" w:color="auto" w:fill="auto"/>
            <w:noWrap/>
            <w:vAlign w:val="bottom"/>
            <w:hideMark/>
          </w:tcPr>
          <w:p w14:paraId="105A2F82"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91,502.18 </w:t>
            </w:r>
          </w:p>
        </w:tc>
        <w:tc>
          <w:tcPr>
            <w:tcW w:w="1440" w:type="dxa"/>
            <w:tcBorders>
              <w:top w:val="nil"/>
              <w:left w:val="nil"/>
              <w:bottom w:val="single" w:sz="4" w:space="0" w:color="auto"/>
              <w:right w:val="single" w:sz="4" w:space="0" w:color="auto"/>
            </w:tcBorders>
            <w:shd w:val="clear" w:color="auto" w:fill="auto"/>
            <w:noWrap/>
            <w:vAlign w:val="bottom"/>
            <w:hideMark/>
          </w:tcPr>
          <w:p w14:paraId="6EDD3EDA"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91,111.40 </w:t>
            </w:r>
          </w:p>
        </w:tc>
        <w:tc>
          <w:tcPr>
            <w:tcW w:w="1350" w:type="dxa"/>
            <w:tcBorders>
              <w:top w:val="nil"/>
              <w:left w:val="nil"/>
              <w:bottom w:val="single" w:sz="4" w:space="0" w:color="auto"/>
              <w:right w:val="single" w:sz="4" w:space="0" w:color="auto"/>
            </w:tcBorders>
            <w:shd w:val="clear" w:color="auto" w:fill="auto"/>
            <w:noWrap/>
            <w:vAlign w:val="bottom"/>
            <w:hideMark/>
          </w:tcPr>
          <w:p w14:paraId="38C12CFA"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390.78 </w:t>
            </w:r>
          </w:p>
        </w:tc>
      </w:tr>
      <w:tr w:rsidR="00FB76DF" w:rsidRPr="00824BC0" w14:paraId="10E6C6DF" w14:textId="77777777" w:rsidTr="00D56FEC">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75DC3C68" w14:textId="77777777" w:rsidR="00FB76DF" w:rsidRPr="00824BC0" w:rsidRDefault="00FB76DF" w:rsidP="00D56FEC">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June </w:t>
            </w:r>
          </w:p>
        </w:tc>
        <w:tc>
          <w:tcPr>
            <w:tcW w:w="1530" w:type="dxa"/>
            <w:tcBorders>
              <w:top w:val="nil"/>
              <w:left w:val="nil"/>
              <w:bottom w:val="single" w:sz="4" w:space="0" w:color="auto"/>
              <w:right w:val="single" w:sz="4" w:space="0" w:color="auto"/>
            </w:tcBorders>
            <w:shd w:val="clear" w:color="auto" w:fill="auto"/>
            <w:noWrap/>
            <w:vAlign w:val="bottom"/>
            <w:hideMark/>
          </w:tcPr>
          <w:p w14:paraId="1D0666A2"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390.78 </w:t>
            </w:r>
          </w:p>
        </w:tc>
        <w:tc>
          <w:tcPr>
            <w:tcW w:w="1440" w:type="dxa"/>
            <w:tcBorders>
              <w:top w:val="nil"/>
              <w:left w:val="nil"/>
              <w:bottom w:val="single" w:sz="4" w:space="0" w:color="auto"/>
              <w:right w:val="single" w:sz="4" w:space="0" w:color="auto"/>
            </w:tcBorders>
            <w:shd w:val="clear" w:color="auto" w:fill="auto"/>
            <w:noWrap/>
            <w:vAlign w:val="bottom"/>
            <w:hideMark/>
          </w:tcPr>
          <w:p w14:paraId="199C0A47"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89,429.84 </w:t>
            </w:r>
          </w:p>
        </w:tc>
        <w:tc>
          <w:tcPr>
            <w:tcW w:w="1530" w:type="dxa"/>
            <w:tcBorders>
              <w:top w:val="nil"/>
              <w:left w:val="nil"/>
              <w:bottom w:val="single" w:sz="4" w:space="0" w:color="auto"/>
              <w:right w:val="single" w:sz="4" w:space="0" w:color="auto"/>
            </w:tcBorders>
            <w:shd w:val="clear" w:color="auto" w:fill="auto"/>
            <w:noWrap/>
            <w:vAlign w:val="bottom"/>
            <w:hideMark/>
          </w:tcPr>
          <w:p w14:paraId="12430CD4"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89,820.62 </w:t>
            </w:r>
          </w:p>
        </w:tc>
        <w:tc>
          <w:tcPr>
            <w:tcW w:w="1440" w:type="dxa"/>
            <w:tcBorders>
              <w:top w:val="nil"/>
              <w:left w:val="nil"/>
              <w:bottom w:val="single" w:sz="4" w:space="0" w:color="auto"/>
              <w:right w:val="single" w:sz="4" w:space="0" w:color="auto"/>
            </w:tcBorders>
            <w:shd w:val="clear" w:color="auto" w:fill="auto"/>
            <w:noWrap/>
            <w:vAlign w:val="bottom"/>
            <w:hideMark/>
          </w:tcPr>
          <w:p w14:paraId="314FDBFC"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89,429.84 </w:t>
            </w:r>
          </w:p>
        </w:tc>
        <w:tc>
          <w:tcPr>
            <w:tcW w:w="1350" w:type="dxa"/>
            <w:tcBorders>
              <w:top w:val="nil"/>
              <w:left w:val="nil"/>
              <w:bottom w:val="single" w:sz="4" w:space="0" w:color="auto"/>
              <w:right w:val="single" w:sz="4" w:space="0" w:color="auto"/>
            </w:tcBorders>
            <w:shd w:val="clear" w:color="auto" w:fill="auto"/>
            <w:noWrap/>
            <w:vAlign w:val="bottom"/>
            <w:hideMark/>
          </w:tcPr>
          <w:p w14:paraId="5FB72A83"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390.78 </w:t>
            </w:r>
          </w:p>
        </w:tc>
      </w:tr>
      <w:tr w:rsidR="00FB76DF" w:rsidRPr="00824BC0" w14:paraId="3145ECAC" w14:textId="77777777" w:rsidTr="00D56FEC">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00682658" w14:textId="77777777" w:rsidR="00FB76DF" w:rsidRPr="00824BC0" w:rsidRDefault="00FB76DF" w:rsidP="00D56FEC">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July </w:t>
            </w:r>
          </w:p>
        </w:tc>
        <w:tc>
          <w:tcPr>
            <w:tcW w:w="1530" w:type="dxa"/>
            <w:tcBorders>
              <w:top w:val="nil"/>
              <w:left w:val="nil"/>
              <w:bottom w:val="single" w:sz="4" w:space="0" w:color="auto"/>
              <w:right w:val="single" w:sz="4" w:space="0" w:color="auto"/>
            </w:tcBorders>
            <w:shd w:val="clear" w:color="auto" w:fill="auto"/>
            <w:noWrap/>
            <w:vAlign w:val="bottom"/>
            <w:hideMark/>
          </w:tcPr>
          <w:p w14:paraId="36939C77"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390.78 </w:t>
            </w:r>
          </w:p>
        </w:tc>
        <w:tc>
          <w:tcPr>
            <w:tcW w:w="1440" w:type="dxa"/>
            <w:tcBorders>
              <w:top w:val="nil"/>
              <w:left w:val="nil"/>
              <w:bottom w:val="single" w:sz="4" w:space="0" w:color="auto"/>
              <w:right w:val="single" w:sz="4" w:space="0" w:color="auto"/>
            </w:tcBorders>
            <w:shd w:val="clear" w:color="auto" w:fill="auto"/>
            <w:noWrap/>
            <w:vAlign w:val="bottom"/>
            <w:hideMark/>
          </w:tcPr>
          <w:p w14:paraId="57E6584C"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89,638.85 </w:t>
            </w:r>
          </w:p>
        </w:tc>
        <w:tc>
          <w:tcPr>
            <w:tcW w:w="1530" w:type="dxa"/>
            <w:tcBorders>
              <w:top w:val="nil"/>
              <w:left w:val="nil"/>
              <w:bottom w:val="single" w:sz="4" w:space="0" w:color="auto"/>
              <w:right w:val="single" w:sz="4" w:space="0" w:color="auto"/>
            </w:tcBorders>
            <w:shd w:val="clear" w:color="auto" w:fill="auto"/>
            <w:noWrap/>
            <w:vAlign w:val="bottom"/>
            <w:hideMark/>
          </w:tcPr>
          <w:p w14:paraId="3AD64662"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90,029.63 </w:t>
            </w:r>
          </w:p>
        </w:tc>
        <w:tc>
          <w:tcPr>
            <w:tcW w:w="1440" w:type="dxa"/>
            <w:tcBorders>
              <w:top w:val="nil"/>
              <w:left w:val="nil"/>
              <w:bottom w:val="single" w:sz="4" w:space="0" w:color="auto"/>
              <w:right w:val="single" w:sz="4" w:space="0" w:color="auto"/>
            </w:tcBorders>
            <w:shd w:val="clear" w:color="auto" w:fill="auto"/>
            <w:noWrap/>
            <w:vAlign w:val="bottom"/>
            <w:hideMark/>
          </w:tcPr>
          <w:p w14:paraId="4956F139"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90,029.63 </w:t>
            </w:r>
          </w:p>
        </w:tc>
        <w:tc>
          <w:tcPr>
            <w:tcW w:w="1350" w:type="dxa"/>
            <w:tcBorders>
              <w:top w:val="nil"/>
              <w:left w:val="nil"/>
              <w:bottom w:val="single" w:sz="4" w:space="0" w:color="auto"/>
              <w:right w:val="single" w:sz="4" w:space="0" w:color="auto"/>
            </w:tcBorders>
            <w:shd w:val="clear" w:color="auto" w:fill="auto"/>
            <w:noWrap/>
            <w:vAlign w:val="bottom"/>
            <w:hideMark/>
          </w:tcPr>
          <w:p w14:paraId="2770E675"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r>
      <w:tr w:rsidR="00FB76DF" w:rsidRPr="00824BC0" w14:paraId="5FD7F364" w14:textId="77777777" w:rsidTr="00D56FEC">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629557FA" w14:textId="77777777" w:rsidR="00FB76DF" w:rsidRPr="00824BC0" w:rsidRDefault="00FB76DF" w:rsidP="00D56FEC">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August </w:t>
            </w:r>
          </w:p>
        </w:tc>
        <w:tc>
          <w:tcPr>
            <w:tcW w:w="1530" w:type="dxa"/>
            <w:tcBorders>
              <w:top w:val="nil"/>
              <w:left w:val="nil"/>
              <w:bottom w:val="single" w:sz="4" w:space="0" w:color="auto"/>
              <w:right w:val="single" w:sz="4" w:space="0" w:color="auto"/>
            </w:tcBorders>
            <w:shd w:val="clear" w:color="auto" w:fill="auto"/>
            <w:noWrap/>
            <w:vAlign w:val="bottom"/>
            <w:hideMark/>
          </w:tcPr>
          <w:p w14:paraId="165CF554"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073C5363"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89,383.22 </w:t>
            </w:r>
          </w:p>
        </w:tc>
        <w:tc>
          <w:tcPr>
            <w:tcW w:w="1530" w:type="dxa"/>
            <w:tcBorders>
              <w:top w:val="nil"/>
              <w:left w:val="nil"/>
              <w:bottom w:val="single" w:sz="4" w:space="0" w:color="auto"/>
              <w:right w:val="single" w:sz="4" w:space="0" w:color="auto"/>
            </w:tcBorders>
            <w:shd w:val="clear" w:color="auto" w:fill="auto"/>
            <w:noWrap/>
            <w:vAlign w:val="bottom"/>
            <w:hideMark/>
          </w:tcPr>
          <w:p w14:paraId="3057B576"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89,383.22 </w:t>
            </w:r>
          </w:p>
        </w:tc>
        <w:tc>
          <w:tcPr>
            <w:tcW w:w="1440" w:type="dxa"/>
            <w:tcBorders>
              <w:top w:val="nil"/>
              <w:left w:val="nil"/>
              <w:bottom w:val="single" w:sz="4" w:space="0" w:color="auto"/>
              <w:right w:val="single" w:sz="4" w:space="0" w:color="auto"/>
            </w:tcBorders>
            <w:shd w:val="clear" w:color="auto" w:fill="auto"/>
            <w:noWrap/>
            <w:vAlign w:val="bottom"/>
            <w:hideMark/>
          </w:tcPr>
          <w:p w14:paraId="2FD9480F"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89,383.22 </w:t>
            </w:r>
          </w:p>
        </w:tc>
        <w:tc>
          <w:tcPr>
            <w:tcW w:w="1350" w:type="dxa"/>
            <w:tcBorders>
              <w:top w:val="nil"/>
              <w:left w:val="nil"/>
              <w:bottom w:val="single" w:sz="4" w:space="0" w:color="auto"/>
              <w:right w:val="single" w:sz="4" w:space="0" w:color="auto"/>
            </w:tcBorders>
            <w:shd w:val="clear" w:color="auto" w:fill="auto"/>
            <w:noWrap/>
            <w:vAlign w:val="bottom"/>
            <w:hideMark/>
          </w:tcPr>
          <w:p w14:paraId="3DAE3945"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r>
      <w:tr w:rsidR="00FB76DF" w:rsidRPr="00824BC0" w14:paraId="403F0EF7" w14:textId="77777777" w:rsidTr="00D56FEC">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7AA12FAC" w14:textId="77777777" w:rsidR="00FB76DF" w:rsidRPr="00824BC0" w:rsidRDefault="00FB76DF" w:rsidP="00D56FEC">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September </w:t>
            </w:r>
          </w:p>
        </w:tc>
        <w:tc>
          <w:tcPr>
            <w:tcW w:w="1530" w:type="dxa"/>
            <w:tcBorders>
              <w:top w:val="nil"/>
              <w:left w:val="nil"/>
              <w:bottom w:val="single" w:sz="4" w:space="0" w:color="auto"/>
              <w:right w:val="single" w:sz="4" w:space="0" w:color="auto"/>
            </w:tcBorders>
            <w:shd w:val="clear" w:color="auto" w:fill="auto"/>
            <w:noWrap/>
            <w:vAlign w:val="bottom"/>
            <w:hideMark/>
          </w:tcPr>
          <w:p w14:paraId="14AECC5A"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10E25DB5"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88,965.95 </w:t>
            </w:r>
          </w:p>
        </w:tc>
        <w:tc>
          <w:tcPr>
            <w:tcW w:w="1530" w:type="dxa"/>
            <w:tcBorders>
              <w:top w:val="nil"/>
              <w:left w:val="nil"/>
              <w:bottom w:val="single" w:sz="4" w:space="0" w:color="auto"/>
              <w:right w:val="single" w:sz="4" w:space="0" w:color="auto"/>
            </w:tcBorders>
            <w:shd w:val="clear" w:color="auto" w:fill="auto"/>
            <w:noWrap/>
            <w:vAlign w:val="bottom"/>
            <w:hideMark/>
          </w:tcPr>
          <w:p w14:paraId="5731A765"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88,965.95 </w:t>
            </w:r>
          </w:p>
        </w:tc>
        <w:tc>
          <w:tcPr>
            <w:tcW w:w="1440" w:type="dxa"/>
            <w:tcBorders>
              <w:top w:val="nil"/>
              <w:left w:val="nil"/>
              <w:bottom w:val="single" w:sz="4" w:space="0" w:color="auto"/>
              <w:right w:val="single" w:sz="4" w:space="0" w:color="auto"/>
            </w:tcBorders>
            <w:shd w:val="clear" w:color="auto" w:fill="auto"/>
            <w:noWrap/>
            <w:vAlign w:val="bottom"/>
            <w:hideMark/>
          </w:tcPr>
          <w:p w14:paraId="26EFA1D6"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87,793.61 </w:t>
            </w:r>
          </w:p>
        </w:tc>
        <w:tc>
          <w:tcPr>
            <w:tcW w:w="1350" w:type="dxa"/>
            <w:tcBorders>
              <w:top w:val="nil"/>
              <w:left w:val="nil"/>
              <w:bottom w:val="single" w:sz="4" w:space="0" w:color="auto"/>
              <w:right w:val="single" w:sz="4" w:space="0" w:color="auto"/>
            </w:tcBorders>
            <w:shd w:val="clear" w:color="auto" w:fill="auto"/>
            <w:noWrap/>
            <w:vAlign w:val="bottom"/>
            <w:hideMark/>
          </w:tcPr>
          <w:p w14:paraId="522067E8"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1,172.34 </w:t>
            </w:r>
          </w:p>
        </w:tc>
      </w:tr>
      <w:tr w:rsidR="00FB76DF" w:rsidRPr="00824BC0" w14:paraId="78332DF3" w14:textId="77777777" w:rsidTr="00D56FEC">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4E2DF1D8" w14:textId="77777777" w:rsidR="00FB76DF" w:rsidRPr="00824BC0" w:rsidRDefault="00FB76DF" w:rsidP="00D56FEC">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October </w:t>
            </w:r>
          </w:p>
        </w:tc>
        <w:tc>
          <w:tcPr>
            <w:tcW w:w="1530" w:type="dxa"/>
            <w:tcBorders>
              <w:top w:val="nil"/>
              <w:left w:val="nil"/>
              <w:bottom w:val="single" w:sz="4" w:space="0" w:color="auto"/>
              <w:right w:val="single" w:sz="4" w:space="0" w:color="auto"/>
            </w:tcBorders>
            <w:shd w:val="clear" w:color="auto" w:fill="auto"/>
            <w:noWrap/>
            <w:vAlign w:val="bottom"/>
            <w:hideMark/>
          </w:tcPr>
          <w:p w14:paraId="53A3DCAF"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1,172.34 </w:t>
            </w:r>
          </w:p>
        </w:tc>
        <w:tc>
          <w:tcPr>
            <w:tcW w:w="1440" w:type="dxa"/>
            <w:tcBorders>
              <w:top w:val="nil"/>
              <w:left w:val="nil"/>
              <w:bottom w:val="single" w:sz="4" w:space="0" w:color="auto"/>
              <w:right w:val="single" w:sz="4" w:space="0" w:color="auto"/>
            </w:tcBorders>
            <w:shd w:val="clear" w:color="auto" w:fill="auto"/>
            <w:noWrap/>
            <w:vAlign w:val="bottom"/>
            <w:hideMark/>
          </w:tcPr>
          <w:p w14:paraId="50561105"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99,675.17 </w:t>
            </w:r>
          </w:p>
        </w:tc>
        <w:tc>
          <w:tcPr>
            <w:tcW w:w="1530" w:type="dxa"/>
            <w:tcBorders>
              <w:top w:val="nil"/>
              <w:left w:val="nil"/>
              <w:bottom w:val="single" w:sz="4" w:space="0" w:color="auto"/>
              <w:right w:val="single" w:sz="4" w:space="0" w:color="auto"/>
            </w:tcBorders>
            <w:shd w:val="clear" w:color="auto" w:fill="auto"/>
            <w:noWrap/>
            <w:vAlign w:val="bottom"/>
            <w:hideMark/>
          </w:tcPr>
          <w:p w14:paraId="10D7D8CB"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100,847.51 </w:t>
            </w:r>
          </w:p>
        </w:tc>
        <w:tc>
          <w:tcPr>
            <w:tcW w:w="1440" w:type="dxa"/>
            <w:tcBorders>
              <w:top w:val="nil"/>
              <w:left w:val="nil"/>
              <w:bottom w:val="single" w:sz="4" w:space="0" w:color="auto"/>
              <w:right w:val="single" w:sz="4" w:space="0" w:color="auto"/>
            </w:tcBorders>
            <w:shd w:val="clear" w:color="auto" w:fill="auto"/>
            <w:noWrap/>
            <w:vAlign w:val="bottom"/>
            <w:hideMark/>
          </w:tcPr>
          <w:p w14:paraId="43A48D68"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99,765.95 </w:t>
            </w:r>
          </w:p>
        </w:tc>
        <w:tc>
          <w:tcPr>
            <w:tcW w:w="1350" w:type="dxa"/>
            <w:tcBorders>
              <w:top w:val="nil"/>
              <w:left w:val="nil"/>
              <w:bottom w:val="single" w:sz="4" w:space="0" w:color="auto"/>
              <w:right w:val="single" w:sz="4" w:space="0" w:color="auto"/>
            </w:tcBorders>
            <w:shd w:val="clear" w:color="auto" w:fill="auto"/>
            <w:noWrap/>
            <w:vAlign w:val="bottom"/>
            <w:hideMark/>
          </w:tcPr>
          <w:p w14:paraId="1AD1A853"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1,081.56 </w:t>
            </w:r>
          </w:p>
        </w:tc>
      </w:tr>
      <w:tr w:rsidR="00FB76DF" w:rsidRPr="00824BC0" w14:paraId="796B63E0" w14:textId="77777777" w:rsidTr="00D56FEC">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5E76AD26" w14:textId="77777777" w:rsidR="00FB76DF" w:rsidRPr="00824BC0" w:rsidRDefault="00FB76DF" w:rsidP="00D56FEC">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November </w:t>
            </w:r>
          </w:p>
        </w:tc>
        <w:tc>
          <w:tcPr>
            <w:tcW w:w="1530" w:type="dxa"/>
            <w:tcBorders>
              <w:top w:val="nil"/>
              <w:left w:val="nil"/>
              <w:bottom w:val="single" w:sz="4" w:space="0" w:color="auto"/>
              <w:right w:val="single" w:sz="4" w:space="0" w:color="auto"/>
            </w:tcBorders>
            <w:shd w:val="clear" w:color="auto" w:fill="auto"/>
            <w:noWrap/>
            <w:vAlign w:val="bottom"/>
            <w:hideMark/>
          </w:tcPr>
          <w:p w14:paraId="09DD7DF9"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1,081.56 </w:t>
            </w:r>
          </w:p>
        </w:tc>
        <w:tc>
          <w:tcPr>
            <w:tcW w:w="1440" w:type="dxa"/>
            <w:tcBorders>
              <w:top w:val="nil"/>
              <w:left w:val="nil"/>
              <w:bottom w:val="single" w:sz="4" w:space="0" w:color="auto"/>
              <w:right w:val="single" w:sz="4" w:space="0" w:color="auto"/>
            </w:tcBorders>
            <w:shd w:val="clear" w:color="auto" w:fill="auto"/>
            <w:noWrap/>
            <w:vAlign w:val="bottom"/>
            <w:hideMark/>
          </w:tcPr>
          <w:p w14:paraId="113673E7"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101,054.87 </w:t>
            </w:r>
          </w:p>
        </w:tc>
        <w:tc>
          <w:tcPr>
            <w:tcW w:w="1530" w:type="dxa"/>
            <w:tcBorders>
              <w:top w:val="nil"/>
              <w:left w:val="nil"/>
              <w:bottom w:val="single" w:sz="4" w:space="0" w:color="auto"/>
              <w:right w:val="single" w:sz="4" w:space="0" w:color="auto"/>
            </w:tcBorders>
            <w:shd w:val="clear" w:color="auto" w:fill="auto"/>
            <w:noWrap/>
            <w:vAlign w:val="bottom"/>
            <w:hideMark/>
          </w:tcPr>
          <w:p w14:paraId="71093277"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102,136.43 </w:t>
            </w:r>
          </w:p>
        </w:tc>
        <w:tc>
          <w:tcPr>
            <w:tcW w:w="1440" w:type="dxa"/>
            <w:tcBorders>
              <w:top w:val="nil"/>
              <w:left w:val="nil"/>
              <w:bottom w:val="single" w:sz="4" w:space="0" w:color="auto"/>
              <w:right w:val="single" w:sz="4" w:space="0" w:color="auto"/>
            </w:tcBorders>
            <w:shd w:val="clear" w:color="auto" w:fill="auto"/>
            <w:noWrap/>
            <w:vAlign w:val="bottom"/>
            <w:hideMark/>
          </w:tcPr>
          <w:p w14:paraId="08E1FF5D"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90,045.65 </w:t>
            </w:r>
          </w:p>
        </w:tc>
        <w:tc>
          <w:tcPr>
            <w:tcW w:w="1350" w:type="dxa"/>
            <w:tcBorders>
              <w:top w:val="nil"/>
              <w:left w:val="nil"/>
              <w:bottom w:val="single" w:sz="4" w:space="0" w:color="auto"/>
              <w:right w:val="single" w:sz="4" w:space="0" w:color="auto"/>
            </w:tcBorders>
            <w:shd w:val="clear" w:color="auto" w:fill="auto"/>
            <w:noWrap/>
            <w:vAlign w:val="bottom"/>
            <w:hideMark/>
          </w:tcPr>
          <w:p w14:paraId="610E3746"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12,090.78 </w:t>
            </w:r>
          </w:p>
        </w:tc>
      </w:tr>
      <w:tr w:rsidR="00FB76DF" w:rsidRPr="00824BC0" w14:paraId="4D6B37FA" w14:textId="77777777" w:rsidTr="00D56FEC">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27E37459" w14:textId="77777777" w:rsidR="00FB76DF" w:rsidRPr="00824BC0" w:rsidRDefault="00FB76DF" w:rsidP="00D56FEC">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December </w:t>
            </w:r>
          </w:p>
        </w:tc>
        <w:tc>
          <w:tcPr>
            <w:tcW w:w="1530" w:type="dxa"/>
            <w:tcBorders>
              <w:top w:val="nil"/>
              <w:left w:val="nil"/>
              <w:bottom w:val="single" w:sz="4" w:space="0" w:color="auto"/>
              <w:right w:val="single" w:sz="4" w:space="0" w:color="auto"/>
            </w:tcBorders>
            <w:shd w:val="clear" w:color="auto" w:fill="auto"/>
            <w:noWrap/>
            <w:vAlign w:val="bottom"/>
            <w:hideMark/>
          </w:tcPr>
          <w:p w14:paraId="5BF34A6E"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12,090.78 </w:t>
            </w:r>
          </w:p>
        </w:tc>
        <w:tc>
          <w:tcPr>
            <w:tcW w:w="1440" w:type="dxa"/>
            <w:tcBorders>
              <w:top w:val="nil"/>
              <w:left w:val="nil"/>
              <w:bottom w:val="single" w:sz="4" w:space="0" w:color="auto"/>
              <w:right w:val="single" w:sz="4" w:space="0" w:color="auto"/>
            </w:tcBorders>
            <w:shd w:val="clear" w:color="auto" w:fill="auto"/>
            <w:noWrap/>
            <w:vAlign w:val="bottom"/>
            <w:hideMark/>
          </w:tcPr>
          <w:p w14:paraId="1F7B3E79"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101,948.76 </w:t>
            </w:r>
          </w:p>
        </w:tc>
        <w:tc>
          <w:tcPr>
            <w:tcW w:w="1530" w:type="dxa"/>
            <w:tcBorders>
              <w:top w:val="nil"/>
              <w:left w:val="nil"/>
              <w:bottom w:val="single" w:sz="4" w:space="0" w:color="auto"/>
              <w:right w:val="single" w:sz="4" w:space="0" w:color="auto"/>
            </w:tcBorders>
            <w:shd w:val="clear" w:color="auto" w:fill="auto"/>
            <w:noWrap/>
            <w:vAlign w:val="bottom"/>
            <w:hideMark/>
          </w:tcPr>
          <w:p w14:paraId="561859A2"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114,039.54 </w:t>
            </w:r>
          </w:p>
        </w:tc>
        <w:tc>
          <w:tcPr>
            <w:tcW w:w="1440" w:type="dxa"/>
            <w:tcBorders>
              <w:top w:val="nil"/>
              <w:left w:val="nil"/>
              <w:bottom w:val="single" w:sz="4" w:space="0" w:color="auto"/>
              <w:right w:val="single" w:sz="4" w:space="0" w:color="auto"/>
            </w:tcBorders>
            <w:shd w:val="clear" w:color="auto" w:fill="auto"/>
            <w:noWrap/>
            <w:vAlign w:val="bottom"/>
            <w:hideMark/>
          </w:tcPr>
          <w:p w14:paraId="7F338619"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114,039.54 </w:t>
            </w:r>
          </w:p>
        </w:tc>
        <w:tc>
          <w:tcPr>
            <w:tcW w:w="1350" w:type="dxa"/>
            <w:tcBorders>
              <w:top w:val="nil"/>
              <w:left w:val="nil"/>
              <w:bottom w:val="single" w:sz="4" w:space="0" w:color="auto"/>
              <w:right w:val="single" w:sz="4" w:space="0" w:color="auto"/>
            </w:tcBorders>
            <w:shd w:val="clear" w:color="auto" w:fill="auto"/>
            <w:noWrap/>
            <w:vAlign w:val="bottom"/>
            <w:hideMark/>
          </w:tcPr>
          <w:p w14:paraId="76AC5CA6" w14:textId="77777777" w:rsidR="00FB76DF" w:rsidRPr="00824BC0" w:rsidRDefault="00FB76DF" w:rsidP="00D56FEC">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r>
    </w:tbl>
    <w:p w14:paraId="51F93FF7" w14:textId="77777777" w:rsidR="004C4ADC" w:rsidRPr="00824BC0" w:rsidRDefault="004C4ADC" w:rsidP="00024BF0">
      <w:pPr>
        <w:spacing w:after="0" w:line="240" w:lineRule="auto"/>
        <w:jc w:val="both"/>
        <w:rPr>
          <w:rFonts w:ascii="Times New Roman" w:hAnsi="Times New Roman" w:cs="Times New Roman"/>
          <w:bCs/>
          <w:i/>
          <w:sz w:val="24"/>
          <w:szCs w:val="24"/>
        </w:rPr>
      </w:pPr>
    </w:p>
    <w:tbl>
      <w:tblPr>
        <w:tblW w:w="8635" w:type="dxa"/>
        <w:tblLook w:val="04A0" w:firstRow="1" w:lastRow="0" w:firstColumn="1" w:lastColumn="0" w:noHBand="0" w:noVBand="1"/>
      </w:tblPr>
      <w:tblGrid>
        <w:gridCol w:w="1345"/>
        <w:gridCol w:w="1530"/>
        <w:gridCol w:w="1440"/>
        <w:gridCol w:w="1530"/>
        <w:gridCol w:w="1440"/>
        <w:gridCol w:w="1350"/>
      </w:tblGrid>
      <w:tr w:rsidR="00024BF0" w:rsidRPr="00824BC0" w14:paraId="46E9B2DF" w14:textId="77777777" w:rsidTr="009D7477">
        <w:trPr>
          <w:trHeight w:val="600"/>
          <w:tblHeader/>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DBCC7" w14:textId="36A5D11D" w:rsidR="00024BF0" w:rsidRPr="00824BC0" w:rsidRDefault="00024BF0" w:rsidP="00024BF0">
            <w:pPr>
              <w:spacing w:after="0" w:line="240" w:lineRule="auto"/>
              <w:jc w:val="center"/>
              <w:rPr>
                <w:rFonts w:ascii="Times New Roman" w:eastAsia="Times New Roman" w:hAnsi="Times New Roman" w:cs="Times New Roman"/>
                <w:b/>
                <w:bCs/>
                <w:color w:val="000000"/>
                <w:sz w:val="24"/>
                <w:szCs w:val="24"/>
                <w:lang w:eastAsia="en-PH"/>
              </w:rPr>
            </w:pPr>
            <w:r w:rsidRPr="00824BC0">
              <w:rPr>
                <w:rFonts w:ascii="Times New Roman" w:eastAsia="Times New Roman" w:hAnsi="Times New Roman" w:cs="Times New Roman"/>
                <w:b/>
                <w:bCs/>
                <w:color w:val="000000"/>
                <w:sz w:val="24"/>
                <w:szCs w:val="24"/>
                <w:lang w:eastAsia="en-PH"/>
              </w:rPr>
              <w:t xml:space="preserve">General Fund 164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79000BF" w14:textId="77777777" w:rsidR="00024BF0" w:rsidRPr="00824BC0" w:rsidRDefault="00024BF0" w:rsidP="00024BF0">
            <w:pPr>
              <w:spacing w:after="0" w:line="240" w:lineRule="auto"/>
              <w:jc w:val="center"/>
              <w:rPr>
                <w:rFonts w:ascii="Times New Roman" w:eastAsia="Times New Roman" w:hAnsi="Times New Roman" w:cs="Times New Roman"/>
                <w:b/>
                <w:bCs/>
                <w:color w:val="000000"/>
                <w:sz w:val="24"/>
                <w:szCs w:val="24"/>
                <w:lang w:eastAsia="en-PH"/>
              </w:rPr>
            </w:pPr>
            <w:r w:rsidRPr="00824BC0">
              <w:rPr>
                <w:rFonts w:ascii="Times New Roman" w:eastAsia="Times New Roman" w:hAnsi="Times New Roman" w:cs="Times New Roman"/>
                <w:b/>
                <w:bCs/>
                <w:color w:val="000000"/>
                <w:sz w:val="24"/>
                <w:szCs w:val="24"/>
                <w:lang w:eastAsia="en-PH"/>
              </w:rPr>
              <w:t xml:space="preserve"> Beginning Balance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A799327" w14:textId="77777777" w:rsidR="00024BF0" w:rsidRPr="00824BC0" w:rsidRDefault="00024BF0" w:rsidP="00024BF0">
            <w:pPr>
              <w:spacing w:after="0" w:line="240" w:lineRule="auto"/>
              <w:jc w:val="center"/>
              <w:rPr>
                <w:rFonts w:ascii="Times New Roman" w:eastAsia="Times New Roman" w:hAnsi="Times New Roman" w:cs="Times New Roman"/>
                <w:b/>
                <w:bCs/>
                <w:color w:val="000000"/>
                <w:sz w:val="24"/>
                <w:szCs w:val="24"/>
                <w:lang w:eastAsia="en-PH"/>
              </w:rPr>
            </w:pPr>
            <w:r w:rsidRPr="00824BC0">
              <w:rPr>
                <w:rFonts w:ascii="Times New Roman" w:eastAsia="Times New Roman" w:hAnsi="Times New Roman" w:cs="Times New Roman"/>
                <w:b/>
                <w:bCs/>
                <w:color w:val="000000"/>
                <w:sz w:val="24"/>
                <w:szCs w:val="24"/>
                <w:lang w:eastAsia="en-PH"/>
              </w:rPr>
              <w:t xml:space="preserve"> Amount Withheld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50F0AFF" w14:textId="5C1D728B" w:rsidR="00024BF0" w:rsidRPr="00824BC0" w:rsidRDefault="00024BF0" w:rsidP="00024BF0">
            <w:pPr>
              <w:spacing w:after="0" w:line="240" w:lineRule="auto"/>
              <w:jc w:val="center"/>
              <w:rPr>
                <w:rFonts w:ascii="Times New Roman" w:eastAsia="Times New Roman" w:hAnsi="Times New Roman" w:cs="Times New Roman"/>
                <w:b/>
                <w:bCs/>
                <w:color w:val="000000"/>
                <w:sz w:val="24"/>
                <w:szCs w:val="24"/>
                <w:lang w:eastAsia="en-PH"/>
              </w:rPr>
            </w:pPr>
            <w:r w:rsidRPr="00824BC0">
              <w:rPr>
                <w:rFonts w:ascii="Times New Roman" w:eastAsia="Times New Roman" w:hAnsi="Times New Roman" w:cs="Times New Roman"/>
                <w:b/>
                <w:bCs/>
                <w:color w:val="000000"/>
                <w:sz w:val="24"/>
                <w:szCs w:val="24"/>
                <w:lang w:eastAsia="en-PH"/>
              </w:rPr>
              <w:t xml:space="preserve"> </w:t>
            </w:r>
            <w:r w:rsidR="00196742" w:rsidRPr="00824BC0">
              <w:rPr>
                <w:rFonts w:ascii="Times New Roman" w:eastAsia="Times New Roman" w:hAnsi="Times New Roman" w:cs="Times New Roman"/>
                <w:b/>
                <w:bCs/>
                <w:color w:val="000000"/>
                <w:sz w:val="24"/>
                <w:szCs w:val="24"/>
                <w:lang w:eastAsia="en-PH"/>
              </w:rPr>
              <w:t xml:space="preserve">Total For Remittance </w:t>
            </w:r>
            <w:r w:rsidRPr="00824BC0">
              <w:rPr>
                <w:rFonts w:ascii="Times New Roman" w:eastAsia="Times New Roman" w:hAnsi="Times New Roman" w:cs="Times New Roman"/>
                <w:b/>
                <w:bCs/>
                <w:color w:val="000000"/>
                <w:sz w:val="24"/>
                <w:szCs w:val="24"/>
                <w:lang w:eastAsia="en-PH"/>
              </w:rPr>
              <w:t xml:space="preserve">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D25AB94" w14:textId="77777777" w:rsidR="00024BF0" w:rsidRPr="00824BC0" w:rsidRDefault="00024BF0" w:rsidP="00024BF0">
            <w:pPr>
              <w:spacing w:after="0" w:line="240" w:lineRule="auto"/>
              <w:jc w:val="center"/>
              <w:rPr>
                <w:rFonts w:ascii="Times New Roman" w:eastAsia="Times New Roman" w:hAnsi="Times New Roman" w:cs="Times New Roman"/>
                <w:b/>
                <w:bCs/>
                <w:color w:val="000000"/>
                <w:sz w:val="24"/>
                <w:szCs w:val="24"/>
                <w:lang w:eastAsia="en-PH"/>
              </w:rPr>
            </w:pPr>
            <w:r w:rsidRPr="00824BC0">
              <w:rPr>
                <w:rFonts w:ascii="Times New Roman" w:eastAsia="Times New Roman" w:hAnsi="Times New Roman" w:cs="Times New Roman"/>
                <w:b/>
                <w:bCs/>
                <w:color w:val="000000"/>
                <w:sz w:val="24"/>
                <w:szCs w:val="24"/>
                <w:lang w:eastAsia="en-PH"/>
              </w:rPr>
              <w:t xml:space="preserve"> Amount Remitted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9344FE4" w14:textId="77777777" w:rsidR="00024BF0" w:rsidRPr="00824BC0" w:rsidRDefault="00024BF0" w:rsidP="00024BF0">
            <w:pPr>
              <w:spacing w:after="0" w:line="240" w:lineRule="auto"/>
              <w:jc w:val="center"/>
              <w:rPr>
                <w:rFonts w:ascii="Times New Roman" w:eastAsia="Times New Roman" w:hAnsi="Times New Roman" w:cs="Times New Roman"/>
                <w:b/>
                <w:bCs/>
                <w:color w:val="000000"/>
                <w:sz w:val="24"/>
                <w:szCs w:val="24"/>
                <w:lang w:eastAsia="en-PH"/>
              </w:rPr>
            </w:pPr>
            <w:r w:rsidRPr="00824BC0">
              <w:rPr>
                <w:rFonts w:ascii="Times New Roman" w:eastAsia="Times New Roman" w:hAnsi="Times New Roman" w:cs="Times New Roman"/>
                <w:b/>
                <w:bCs/>
                <w:color w:val="000000"/>
                <w:sz w:val="24"/>
                <w:szCs w:val="24"/>
                <w:lang w:eastAsia="en-PH"/>
              </w:rPr>
              <w:t xml:space="preserve"> Ending Balance </w:t>
            </w:r>
          </w:p>
        </w:tc>
      </w:tr>
      <w:tr w:rsidR="00024BF0" w:rsidRPr="00824BC0" w14:paraId="3F5EC85B" w14:textId="77777777" w:rsidTr="008C028D">
        <w:trPr>
          <w:trHeight w:val="300"/>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0E7FF513" w14:textId="77777777" w:rsidR="00024BF0" w:rsidRPr="00824BC0" w:rsidRDefault="00024BF0" w:rsidP="00024BF0">
            <w:pPr>
              <w:spacing w:after="0" w:line="240" w:lineRule="auto"/>
              <w:jc w:val="center"/>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2021</w:t>
            </w:r>
          </w:p>
        </w:tc>
        <w:tc>
          <w:tcPr>
            <w:tcW w:w="1530" w:type="dxa"/>
            <w:tcBorders>
              <w:top w:val="nil"/>
              <w:left w:val="nil"/>
              <w:bottom w:val="single" w:sz="4" w:space="0" w:color="auto"/>
              <w:right w:val="single" w:sz="4" w:space="0" w:color="auto"/>
            </w:tcBorders>
            <w:shd w:val="clear" w:color="auto" w:fill="auto"/>
            <w:vAlign w:val="center"/>
            <w:hideMark/>
          </w:tcPr>
          <w:p w14:paraId="5DE98822" w14:textId="77777777" w:rsidR="00024BF0" w:rsidRPr="00824BC0" w:rsidRDefault="00024BF0" w:rsidP="00024BF0">
            <w:pPr>
              <w:spacing w:after="0" w:line="240" w:lineRule="auto"/>
              <w:jc w:val="center"/>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w:t>
            </w:r>
          </w:p>
        </w:tc>
        <w:tc>
          <w:tcPr>
            <w:tcW w:w="1440" w:type="dxa"/>
            <w:tcBorders>
              <w:top w:val="nil"/>
              <w:left w:val="nil"/>
              <w:bottom w:val="single" w:sz="4" w:space="0" w:color="auto"/>
              <w:right w:val="single" w:sz="4" w:space="0" w:color="auto"/>
            </w:tcBorders>
            <w:shd w:val="clear" w:color="auto" w:fill="auto"/>
            <w:vAlign w:val="center"/>
            <w:hideMark/>
          </w:tcPr>
          <w:p w14:paraId="63185CF6" w14:textId="77777777" w:rsidR="00024BF0" w:rsidRPr="00824BC0" w:rsidRDefault="00024BF0" w:rsidP="00024BF0">
            <w:pPr>
              <w:spacing w:after="0" w:line="240" w:lineRule="auto"/>
              <w:jc w:val="center"/>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w:t>
            </w:r>
          </w:p>
        </w:tc>
        <w:tc>
          <w:tcPr>
            <w:tcW w:w="1530" w:type="dxa"/>
            <w:tcBorders>
              <w:top w:val="nil"/>
              <w:left w:val="nil"/>
              <w:bottom w:val="single" w:sz="4" w:space="0" w:color="auto"/>
              <w:right w:val="single" w:sz="4" w:space="0" w:color="auto"/>
            </w:tcBorders>
            <w:shd w:val="clear" w:color="auto" w:fill="auto"/>
            <w:vAlign w:val="center"/>
            <w:hideMark/>
          </w:tcPr>
          <w:p w14:paraId="38B336B0" w14:textId="77777777" w:rsidR="00024BF0" w:rsidRPr="00824BC0" w:rsidRDefault="00024BF0" w:rsidP="00024BF0">
            <w:pPr>
              <w:spacing w:after="0" w:line="240" w:lineRule="auto"/>
              <w:jc w:val="center"/>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w:t>
            </w:r>
          </w:p>
        </w:tc>
        <w:tc>
          <w:tcPr>
            <w:tcW w:w="1440" w:type="dxa"/>
            <w:tcBorders>
              <w:top w:val="nil"/>
              <w:left w:val="nil"/>
              <w:bottom w:val="single" w:sz="4" w:space="0" w:color="auto"/>
              <w:right w:val="single" w:sz="4" w:space="0" w:color="auto"/>
            </w:tcBorders>
            <w:shd w:val="clear" w:color="auto" w:fill="auto"/>
            <w:vAlign w:val="center"/>
            <w:hideMark/>
          </w:tcPr>
          <w:p w14:paraId="4E45D84D" w14:textId="77777777" w:rsidR="00024BF0" w:rsidRPr="00824BC0" w:rsidRDefault="00024BF0" w:rsidP="00024BF0">
            <w:pPr>
              <w:spacing w:after="0" w:line="240" w:lineRule="auto"/>
              <w:jc w:val="center"/>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w:t>
            </w:r>
          </w:p>
        </w:tc>
        <w:tc>
          <w:tcPr>
            <w:tcW w:w="1350" w:type="dxa"/>
            <w:tcBorders>
              <w:top w:val="nil"/>
              <w:left w:val="nil"/>
              <w:bottom w:val="single" w:sz="4" w:space="0" w:color="auto"/>
              <w:right w:val="single" w:sz="4" w:space="0" w:color="auto"/>
            </w:tcBorders>
            <w:shd w:val="clear" w:color="auto" w:fill="auto"/>
            <w:vAlign w:val="center"/>
            <w:hideMark/>
          </w:tcPr>
          <w:p w14:paraId="6887DE0F" w14:textId="77777777" w:rsidR="00024BF0" w:rsidRPr="00824BC0" w:rsidRDefault="00024BF0" w:rsidP="00024BF0">
            <w:pPr>
              <w:spacing w:after="0" w:line="240" w:lineRule="auto"/>
              <w:jc w:val="center"/>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w:t>
            </w:r>
          </w:p>
        </w:tc>
      </w:tr>
      <w:tr w:rsidR="008C028D" w:rsidRPr="00824BC0" w14:paraId="4326702C" w14:textId="77777777" w:rsidTr="008C028D">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32391BE8" w14:textId="7892A726" w:rsidR="008C028D" w:rsidRPr="00824BC0" w:rsidRDefault="008C028D" w:rsidP="008C028D">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January </w:t>
            </w:r>
          </w:p>
        </w:tc>
        <w:tc>
          <w:tcPr>
            <w:tcW w:w="1530" w:type="dxa"/>
            <w:tcBorders>
              <w:top w:val="nil"/>
              <w:left w:val="nil"/>
              <w:bottom w:val="single" w:sz="4" w:space="0" w:color="auto"/>
              <w:right w:val="single" w:sz="4" w:space="0" w:color="auto"/>
            </w:tcBorders>
            <w:shd w:val="clear" w:color="auto" w:fill="auto"/>
            <w:noWrap/>
            <w:vAlign w:val="bottom"/>
            <w:hideMark/>
          </w:tcPr>
          <w:p w14:paraId="53F06CBF" w14:textId="2981F058"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0.00</w:t>
            </w:r>
          </w:p>
        </w:tc>
        <w:tc>
          <w:tcPr>
            <w:tcW w:w="1440" w:type="dxa"/>
            <w:tcBorders>
              <w:top w:val="nil"/>
              <w:left w:val="nil"/>
              <w:bottom w:val="single" w:sz="4" w:space="0" w:color="auto"/>
              <w:right w:val="single" w:sz="4" w:space="0" w:color="auto"/>
            </w:tcBorders>
            <w:shd w:val="clear" w:color="auto" w:fill="auto"/>
            <w:noWrap/>
            <w:vAlign w:val="bottom"/>
            <w:hideMark/>
          </w:tcPr>
          <w:p w14:paraId="4988B094" w14:textId="544A0A88"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9,900.00 </w:t>
            </w:r>
          </w:p>
        </w:tc>
        <w:tc>
          <w:tcPr>
            <w:tcW w:w="1530" w:type="dxa"/>
            <w:tcBorders>
              <w:top w:val="nil"/>
              <w:left w:val="nil"/>
              <w:bottom w:val="single" w:sz="4" w:space="0" w:color="auto"/>
              <w:right w:val="single" w:sz="4" w:space="0" w:color="auto"/>
            </w:tcBorders>
            <w:shd w:val="clear" w:color="auto" w:fill="auto"/>
            <w:noWrap/>
            <w:vAlign w:val="bottom"/>
            <w:hideMark/>
          </w:tcPr>
          <w:p w14:paraId="1BEB0BC3" w14:textId="4B614361"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9,900.00 </w:t>
            </w:r>
          </w:p>
        </w:tc>
        <w:tc>
          <w:tcPr>
            <w:tcW w:w="1440" w:type="dxa"/>
            <w:tcBorders>
              <w:top w:val="nil"/>
              <w:left w:val="nil"/>
              <w:bottom w:val="single" w:sz="4" w:space="0" w:color="auto"/>
              <w:right w:val="single" w:sz="4" w:space="0" w:color="auto"/>
            </w:tcBorders>
            <w:shd w:val="clear" w:color="auto" w:fill="auto"/>
            <w:noWrap/>
            <w:vAlign w:val="bottom"/>
            <w:hideMark/>
          </w:tcPr>
          <w:p w14:paraId="232F0432" w14:textId="0A8C3EE3"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9,900.00 </w:t>
            </w:r>
          </w:p>
        </w:tc>
        <w:tc>
          <w:tcPr>
            <w:tcW w:w="1350" w:type="dxa"/>
            <w:tcBorders>
              <w:top w:val="nil"/>
              <w:left w:val="nil"/>
              <w:bottom w:val="single" w:sz="4" w:space="0" w:color="auto"/>
              <w:right w:val="single" w:sz="4" w:space="0" w:color="auto"/>
            </w:tcBorders>
            <w:shd w:val="clear" w:color="auto" w:fill="auto"/>
            <w:noWrap/>
            <w:vAlign w:val="bottom"/>
            <w:hideMark/>
          </w:tcPr>
          <w:p w14:paraId="5DC0A929" w14:textId="7284DB75"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0.00</w:t>
            </w:r>
          </w:p>
        </w:tc>
      </w:tr>
      <w:tr w:rsidR="008C028D" w:rsidRPr="00824BC0" w14:paraId="61A02177" w14:textId="77777777" w:rsidTr="008C028D">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34AA1F80" w14:textId="6DE403D9" w:rsidR="008C028D" w:rsidRPr="00824BC0" w:rsidRDefault="008C028D" w:rsidP="008C028D">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February </w:t>
            </w:r>
          </w:p>
        </w:tc>
        <w:tc>
          <w:tcPr>
            <w:tcW w:w="1530" w:type="dxa"/>
            <w:tcBorders>
              <w:top w:val="nil"/>
              <w:left w:val="nil"/>
              <w:bottom w:val="single" w:sz="4" w:space="0" w:color="auto"/>
              <w:right w:val="single" w:sz="4" w:space="0" w:color="auto"/>
            </w:tcBorders>
            <w:shd w:val="clear" w:color="auto" w:fill="auto"/>
            <w:noWrap/>
            <w:vAlign w:val="bottom"/>
            <w:hideMark/>
          </w:tcPr>
          <w:p w14:paraId="7D875154" w14:textId="4BA7904E"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4B480FEE" w14:textId="3B60EE55"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12,300.00 </w:t>
            </w:r>
          </w:p>
        </w:tc>
        <w:tc>
          <w:tcPr>
            <w:tcW w:w="1530" w:type="dxa"/>
            <w:tcBorders>
              <w:top w:val="nil"/>
              <w:left w:val="nil"/>
              <w:bottom w:val="single" w:sz="4" w:space="0" w:color="auto"/>
              <w:right w:val="single" w:sz="4" w:space="0" w:color="auto"/>
            </w:tcBorders>
            <w:shd w:val="clear" w:color="auto" w:fill="auto"/>
            <w:noWrap/>
            <w:vAlign w:val="bottom"/>
            <w:hideMark/>
          </w:tcPr>
          <w:p w14:paraId="26980696" w14:textId="10A402FB"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12,300.00 </w:t>
            </w:r>
          </w:p>
        </w:tc>
        <w:tc>
          <w:tcPr>
            <w:tcW w:w="1440" w:type="dxa"/>
            <w:tcBorders>
              <w:top w:val="nil"/>
              <w:left w:val="nil"/>
              <w:bottom w:val="single" w:sz="4" w:space="0" w:color="auto"/>
              <w:right w:val="single" w:sz="4" w:space="0" w:color="auto"/>
            </w:tcBorders>
            <w:shd w:val="clear" w:color="auto" w:fill="auto"/>
            <w:noWrap/>
            <w:vAlign w:val="bottom"/>
            <w:hideMark/>
          </w:tcPr>
          <w:p w14:paraId="31417C43" w14:textId="7F131CCA"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12,300.00 </w:t>
            </w:r>
          </w:p>
        </w:tc>
        <w:tc>
          <w:tcPr>
            <w:tcW w:w="1350" w:type="dxa"/>
            <w:tcBorders>
              <w:top w:val="nil"/>
              <w:left w:val="nil"/>
              <w:bottom w:val="single" w:sz="4" w:space="0" w:color="auto"/>
              <w:right w:val="single" w:sz="4" w:space="0" w:color="auto"/>
            </w:tcBorders>
            <w:shd w:val="clear" w:color="auto" w:fill="auto"/>
            <w:noWrap/>
            <w:vAlign w:val="bottom"/>
            <w:hideMark/>
          </w:tcPr>
          <w:p w14:paraId="3848F307" w14:textId="1CC30821"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r>
      <w:tr w:rsidR="008C028D" w:rsidRPr="00824BC0" w14:paraId="0E58BDAD" w14:textId="77777777" w:rsidTr="008C028D">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5730CED6" w14:textId="011BABAA" w:rsidR="008C028D" w:rsidRPr="00824BC0" w:rsidRDefault="008C028D" w:rsidP="008C028D">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March </w:t>
            </w:r>
          </w:p>
        </w:tc>
        <w:tc>
          <w:tcPr>
            <w:tcW w:w="1530" w:type="dxa"/>
            <w:tcBorders>
              <w:top w:val="nil"/>
              <w:left w:val="nil"/>
              <w:bottom w:val="single" w:sz="4" w:space="0" w:color="auto"/>
              <w:right w:val="single" w:sz="4" w:space="0" w:color="auto"/>
            </w:tcBorders>
            <w:shd w:val="clear" w:color="auto" w:fill="auto"/>
            <w:noWrap/>
            <w:vAlign w:val="bottom"/>
            <w:hideMark/>
          </w:tcPr>
          <w:p w14:paraId="067BC435" w14:textId="7932AE4D"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5522DE46" w14:textId="2855A760"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12,000.00 </w:t>
            </w:r>
          </w:p>
        </w:tc>
        <w:tc>
          <w:tcPr>
            <w:tcW w:w="1530" w:type="dxa"/>
            <w:tcBorders>
              <w:top w:val="nil"/>
              <w:left w:val="nil"/>
              <w:bottom w:val="single" w:sz="4" w:space="0" w:color="auto"/>
              <w:right w:val="single" w:sz="4" w:space="0" w:color="auto"/>
            </w:tcBorders>
            <w:shd w:val="clear" w:color="auto" w:fill="auto"/>
            <w:noWrap/>
            <w:vAlign w:val="bottom"/>
            <w:hideMark/>
          </w:tcPr>
          <w:p w14:paraId="35B60609" w14:textId="77777777"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12,000.00 </w:t>
            </w:r>
          </w:p>
        </w:tc>
        <w:tc>
          <w:tcPr>
            <w:tcW w:w="1440" w:type="dxa"/>
            <w:tcBorders>
              <w:top w:val="nil"/>
              <w:left w:val="nil"/>
              <w:bottom w:val="single" w:sz="4" w:space="0" w:color="auto"/>
              <w:right w:val="single" w:sz="4" w:space="0" w:color="auto"/>
            </w:tcBorders>
            <w:shd w:val="clear" w:color="auto" w:fill="auto"/>
            <w:noWrap/>
            <w:vAlign w:val="bottom"/>
            <w:hideMark/>
          </w:tcPr>
          <w:p w14:paraId="2312629C" w14:textId="7902DAD3"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12,000.00 </w:t>
            </w:r>
          </w:p>
        </w:tc>
        <w:tc>
          <w:tcPr>
            <w:tcW w:w="1350" w:type="dxa"/>
            <w:tcBorders>
              <w:top w:val="nil"/>
              <w:left w:val="nil"/>
              <w:bottom w:val="single" w:sz="4" w:space="0" w:color="auto"/>
              <w:right w:val="single" w:sz="4" w:space="0" w:color="auto"/>
            </w:tcBorders>
            <w:shd w:val="clear" w:color="auto" w:fill="auto"/>
            <w:noWrap/>
            <w:vAlign w:val="bottom"/>
            <w:hideMark/>
          </w:tcPr>
          <w:p w14:paraId="135DBE43" w14:textId="6E103D90"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r>
      <w:tr w:rsidR="008C028D" w:rsidRPr="00824BC0" w14:paraId="4C0D806D" w14:textId="77777777" w:rsidTr="008C028D">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7D714533" w14:textId="0016B6B3" w:rsidR="008C028D" w:rsidRPr="00824BC0" w:rsidRDefault="008C028D" w:rsidP="008C028D">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April </w:t>
            </w:r>
          </w:p>
        </w:tc>
        <w:tc>
          <w:tcPr>
            <w:tcW w:w="1530" w:type="dxa"/>
            <w:tcBorders>
              <w:top w:val="nil"/>
              <w:left w:val="nil"/>
              <w:bottom w:val="single" w:sz="4" w:space="0" w:color="auto"/>
              <w:right w:val="single" w:sz="4" w:space="0" w:color="auto"/>
            </w:tcBorders>
            <w:shd w:val="clear" w:color="auto" w:fill="auto"/>
            <w:noWrap/>
            <w:vAlign w:val="bottom"/>
            <w:hideMark/>
          </w:tcPr>
          <w:p w14:paraId="7D78ADEF" w14:textId="4749CE58"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19B5A622" w14:textId="757DDC95"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23,700.00 </w:t>
            </w:r>
          </w:p>
        </w:tc>
        <w:tc>
          <w:tcPr>
            <w:tcW w:w="1530" w:type="dxa"/>
            <w:tcBorders>
              <w:top w:val="nil"/>
              <w:left w:val="nil"/>
              <w:bottom w:val="single" w:sz="4" w:space="0" w:color="auto"/>
              <w:right w:val="single" w:sz="4" w:space="0" w:color="auto"/>
            </w:tcBorders>
            <w:shd w:val="clear" w:color="auto" w:fill="auto"/>
            <w:noWrap/>
            <w:vAlign w:val="bottom"/>
            <w:hideMark/>
          </w:tcPr>
          <w:p w14:paraId="68B32703" w14:textId="77777777"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23,700.00 </w:t>
            </w:r>
          </w:p>
        </w:tc>
        <w:tc>
          <w:tcPr>
            <w:tcW w:w="1440" w:type="dxa"/>
            <w:tcBorders>
              <w:top w:val="nil"/>
              <w:left w:val="nil"/>
              <w:bottom w:val="single" w:sz="4" w:space="0" w:color="auto"/>
              <w:right w:val="single" w:sz="4" w:space="0" w:color="auto"/>
            </w:tcBorders>
            <w:shd w:val="clear" w:color="auto" w:fill="auto"/>
            <w:noWrap/>
            <w:vAlign w:val="bottom"/>
            <w:hideMark/>
          </w:tcPr>
          <w:p w14:paraId="3BEC94ED" w14:textId="02F1F465"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350" w:type="dxa"/>
            <w:tcBorders>
              <w:top w:val="nil"/>
              <w:left w:val="nil"/>
              <w:bottom w:val="single" w:sz="4" w:space="0" w:color="auto"/>
              <w:right w:val="single" w:sz="4" w:space="0" w:color="auto"/>
            </w:tcBorders>
            <w:shd w:val="clear" w:color="auto" w:fill="auto"/>
            <w:noWrap/>
            <w:vAlign w:val="bottom"/>
            <w:hideMark/>
          </w:tcPr>
          <w:p w14:paraId="7E1A2515" w14:textId="173978F9"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23,700.00 </w:t>
            </w:r>
          </w:p>
        </w:tc>
      </w:tr>
      <w:tr w:rsidR="008C028D" w:rsidRPr="00824BC0" w14:paraId="2816A013" w14:textId="77777777" w:rsidTr="008C028D">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3D04C1B8" w14:textId="21A02A55" w:rsidR="008C028D" w:rsidRPr="00824BC0" w:rsidRDefault="008C028D" w:rsidP="008C028D">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May </w:t>
            </w:r>
          </w:p>
        </w:tc>
        <w:tc>
          <w:tcPr>
            <w:tcW w:w="1530" w:type="dxa"/>
            <w:tcBorders>
              <w:top w:val="nil"/>
              <w:left w:val="nil"/>
              <w:bottom w:val="single" w:sz="4" w:space="0" w:color="auto"/>
              <w:right w:val="single" w:sz="4" w:space="0" w:color="auto"/>
            </w:tcBorders>
            <w:shd w:val="clear" w:color="auto" w:fill="auto"/>
            <w:noWrap/>
            <w:vAlign w:val="bottom"/>
            <w:hideMark/>
          </w:tcPr>
          <w:p w14:paraId="7A888DCD" w14:textId="77777777"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23,700.00 </w:t>
            </w:r>
          </w:p>
        </w:tc>
        <w:tc>
          <w:tcPr>
            <w:tcW w:w="1440" w:type="dxa"/>
            <w:tcBorders>
              <w:top w:val="nil"/>
              <w:left w:val="nil"/>
              <w:bottom w:val="single" w:sz="4" w:space="0" w:color="auto"/>
              <w:right w:val="single" w:sz="4" w:space="0" w:color="auto"/>
            </w:tcBorders>
            <w:shd w:val="clear" w:color="auto" w:fill="auto"/>
            <w:noWrap/>
            <w:vAlign w:val="bottom"/>
            <w:hideMark/>
          </w:tcPr>
          <w:p w14:paraId="63B4E922" w14:textId="12E2975E"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12,300.00 </w:t>
            </w:r>
          </w:p>
        </w:tc>
        <w:tc>
          <w:tcPr>
            <w:tcW w:w="1530" w:type="dxa"/>
            <w:tcBorders>
              <w:top w:val="nil"/>
              <w:left w:val="nil"/>
              <w:bottom w:val="single" w:sz="4" w:space="0" w:color="auto"/>
              <w:right w:val="single" w:sz="4" w:space="0" w:color="auto"/>
            </w:tcBorders>
            <w:shd w:val="clear" w:color="auto" w:fill="auto"/>
            <w:noWrap/>
            <w:vAlign w:val="bottom"/>
            <w:hideMark/>
          </w:tcPr>
          <w:p w14:paraId="2E609A57" w14:textId="19D5B064"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36,000.00 </w:t>
            </w:r>
          </w:p>
        </w:tc>
        <w:tc>
          <w:tcPr>
            <w:tcW w:w="1440" w:type="dxa"/>
            <w:tcBorders>
              <w:top w:val="nil"/>
              <w:left w:val="nil"/>
              <w:bottom w:val="single" w:sz="4" w:space="0" w:color="auto"/>
              <w:right w:val="single" w:sz="4" w:space="0" w:color="auto"/>
            </w:tcBorders>
            <w:shd w:val="clear" w:color="auto" w:fill="auto"/>
            <w:noWrap/>
            <w:vAlign w:val="bottom"/>
            <w:hideMark/>
          </w:tcPr>
          <w:p w14:paraId="4B0DBF0A" w14:textId="35DCAB7E"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24,600.00 </w:t>
            </w:r>
          </w:p>
        </w:tc>
        <w:tc>
          <w:tcPr>
            <w:tcW w:w="1350" w:type="dxa"/>
            <w:tcBorders>
              <w:top w:val="nil"/>
              <w:left w:val="nil"/>
              <w:bottom w:val="single" w:sz="4" w:space="0" w:color="auto"/>
              <w:right w:val="single" w:sz="4" w:space="0" w:color="auto"/>
            </w:tcBorders>
            <w:shd w:val="clear" w:color="auto" w:fill="auto"/>
            <w:noWrap/>
            <w:vAlign w:val="bottom"/>
            <w:hideMark/>
          </w:tcPr>
          <w:p w14:paraId="6966CEC1" w14:textId="6DABDF55"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11,400.00 </w:t>
            </w:r>
          </w:p>
        </w:tc>
      </w:tr>
      <w:tr w:rsidR="008C028D" w:rsidRPr="00824BC0" w14:paraId="28D63EFA" w14:textId="77777777" w:rsidTr="008C028D">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0707CA34" w14:textId="75A3A28E" w:rsidR="008C028D" w:rsidRPr="00824BC0" w:rsidRDefault="008C028D" w:rsidP="008C028D">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June </w:t>
            </w:r>
          </w:p>
        </w:tc>
        <w:tc>
          <w:tcPr>
            <w:tcW w:w="1530" w:type="dxa"/>
            <w:tcBorders>
              <w:top w:val="nil"/>
              <w:left w:val="nil"/>
              <w:bottom w:val="single" w:sz="4" w:space="0" w:color="auto"/>
              <w:right w:val="single" w:sz="4" w:space="0" w:color="auto"/>
            </w:tcBorders>
            <w:shd w:val="clear" w:color="auto" w:fill="auto"/>
            <w:noWrap/>
            <w:vAlign w:val="bottom"/>
            <w:hideMark/>
          </w:tcPr>
          <w:p w14:paraId="50E4E370" w14:textId="77777777"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11,400.00 </w:t>
            </w:r>
          </w:p>
        </w:tc>
        <w:tc>
          <w:tcPr>
            <w:tcW w:w="1440" w:type="dxa"/>
            <w:tcBorders>
              <w:top w:val="nil"/>
              <w:left w:val="nil"/>
              <w:bottom w:val="single" w:sz="4" w:space="0" w:color="auto"/>
              <w:right w:val="single" w:sz="4" w:space="0" w:color="auto"/>
            </w:tcBorders>
            <w:shd w:val="clear" w:color="auto" w:fill="auto"/>
            <w:noWrap/>
            <w:vAlign w:val="bottom"/>
            <w:hideMark/>
          </w:tcPr>
          <w:p w14:paraId="77F62284" w14:textId="1884C564"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12,000.00 </w:t>
            </w:r>
          </w:p>
        </w:tc>
        <w:tc>
          <w:tcPr>
            <w:tcW w:w="1530" w:type="dxa"/>
            <w:tcBorders>
              <w:top w:val="nil"/>
              <w:left w:val="nil"/>
              <w:bottom w:val="single" w:sz="4" w:space="0" w:color="auto"/>
              <w:right w:val="single" w:sz="4" w:space="0" w:color="auto"/>
            </w:tcBorders>
            <w:shd w:val="clear" w:color="auto" w:fill="auto"/>
            <w:noWrap/>
            <w:vAlign w:val="bottom"/>
            <w:hideMark/>
          </w:tcPr>
          <w:p w14:paraId="38971232" w14:textId="77777777"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23,400.00 </w:t>
            </w:r>
          </w:p>
        </w:tc>
        <w:tc>
          <w:tcPr>
            <w:tcW w:w="1440" w:type="dxa"/>
            <w:tcBorders>
              <w:top w:val="nil"/>
              <w:left w:val="nil"/>
              <w:bottom w:val="single" w:sz="4" w:space="0" w:color="auto"/>
              <w:right w:val="single" w:sz="4" w:space="0" w:color="auto"/>
            </w:tcBorders>
            <w:shd w:val="clear" w:color="auto" w:fill="auto"/>
            <w:noWrap/>
            <w:vAlign w:val="bottom"/>
            <w:hideMark/>
          </w:tcPr>
          <w:p w14:paraId="16A1E5E7" w14:textId="38953DE2"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23,400.00 </w:t>
            </w:r>
          </w:p>
        </w:tc>
        <w:tc>
          <w:tcPr>
            <w:tcW w:w="1350" w:type="dxa"/>
            <w:tcBorders>
              <w:top w:val="nil"/>
              <w:left w:val="nil"/>
              <w:bottom w:val="single" w:sz="4" w:space="0" w:color="auto"/>
              <w:right w:val="single" w:sz="4" w:space="0" w:color="auto"/>
            </w:tcBorders>
            <w:shd w:val="clear" w:color="auto" w:fill="auto"/>
            <w:noWrap/>
            <w:vAlign w:val="bottom"/>
            <w:hideMark/>
          </w:tcPr>
          <w:p w14:paraId="5BFD8B4F" w14:textId="09EA7658"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r>
      <w:tr w:rsidR="008C028D" w:rsidRPr="00824BC0" w14:paraId="1863704B" w14:textId="77777777" w:rsidTr="008C028D">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3E3AB82A" w14:textId="02CAB84F" w:rsidR="008C028D" w:rsidRPr="00824BC0" w:rsidRDefault="008C028D" w:rsidP="008C028D">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July </w:t>
            </w:r>
          </w:p>
        </w:tc>
        <w:tc>
          <w:tcPr>
            <w:tcW w:w="1530" w:type="dxa"/>
            <w:tcBorders>
              <w:top w:val="nil"/>
              <w:left w:val="nil"/>
              <w:bottom w:val="single" w:sz="4" w:space="0" w:color="auto"/>
              <w:right w:val="single" w:sz="4" w:space="0" w:color="auto"/>
            </w:tcBorders>
            <w:shd w:val="clear" w:color="auto" w:fill="auto"/>
            <w:noWrap/>
            <w:vAlign w:val="bottom"/>
            <w:hideMark/>
          </w:tcPr>
          <w:p w14:paraId="6DB7F7B3" w14:textId="53A73EC9"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45A68311" w14:textId="52208FB7"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11,400.00 </w:t>
            </w:r>
          </w:p>
        </w:tc>
        <w:tc>
          <w:tcPr>
            <w:tcW w:w="1530" w:type="dxa"/>
            <w:tcBorders>
              <w:top w:val="nil"/>
              <w:left w:val="nil"/>
              <w:bottom w:val="single" w:sz="4" w:space="0" w:color="auto"/>
              <w:right w:val="single" w:sz="4" w:space="0" w:color="auto"/>
            </w:tcBorders>
            <w:shd w:val="clear" w:color="auto" w:fill="auto"/>
            <w:noWrap/>
            <w:vAlign w:val="bottom"/>
            <w:hideMark/>
          </w:tcPr>
          <w:p w14:paraId="1FFEF287" w14:textId="4636527F"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11,400.00 </w:t>
            </w:r>
          </w:p>
        </w:tc>
        <w:tc>
          <w:tcPr>
            <w:tcW w:w="1440" w:type="dxa"/>
            <w:tcBorders>
              <w:top w:val="nil"/>
              <w:left w:val="nil"/>
              <w:bottom w:val="single" w:sz="4" w:space="0" w:color="auto"/>
              <w:right w:val="single" w:sz="4" w:space="0" w:color="auto"/>
            </w:tcBorders>
            <w:shd w:val="clear" w:color="auto" w:fill="auto"/>
            <w:noWrap/>
            <w:vAlign w:val="bottom"/>
            <w:hideMark/>
          </w:tcPr>
          <w:p w14:paraId="12AAE63C" w14:textId="2D07A502"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11,400.00 </w:t>
            </w:r>
          </w:p>
        </w:tc>
        <w:tc>
          <w:tcPr>
            <w:tcW w:w="1350" w:type="dxa"/>
            <w:tcBorders>
              <w:top w:val="nil"/>
              <w:left w:val="nil"/>
              <w:bottom w:val="single" w:sz="4" w:space="0" w:color="auto"/>
              <w:right w:val="single" w:sz="4" w:space="0" w:color="auto"/>
            </w:tcBorders>
            <w:shd w:val="clear" w:color="auto" w:fill="auto"/>
            <w:noWrap/>
            <w:vAlign w:val="bottom"/>
            <w:hideMark/>
          </w:tcPr>
          <w:p w14:paraId="414F4052" w14:textId="15EF6F22"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r>
      <w:tr w:rsidR="008C028D" w:rsidRPr="00824BC0" w14:paraId="2CAF309E" w14:textId="77777777" w:rsidTr="008C028D">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39D7B34E" w14:textId="1D873708" w:rsidR="008C028D" w:rsidRPr="00824BC0" w:rsidRDefault="008C028D" w:rsidP="008C028D">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August </w:t>
            </w:r>
          </w:p>
        </w:tc>
        <w:tc>
          <w:tcPr>
            <w:tcW w:w="1530" w:type="dxa"/>
            <w:tcBorders>
              <w:top w:val="nil"/>
              <w:left w:val="nil"/>
              <w:bottom w:val="single" w:sz="4" w:space="0" w:color="auto"/>
              <w:right w:val="single" w:sz="4" w:space="0" w:color="auto"/>
            </w:tcBorders>
            <w:shd w:val="clear" w:color="auto" w:fill="auto"/>
            <w:noWrap/>
            <w:vAlign w:val="bottom"/>
            <w:hideMark/>
          </w:tcPr>
          <w:p w14:paraId="23068ACF" w14:textId="16697C95"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4D07E803" w14:textId="67DD22BD"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11,100.00 </w:t>
            </w:r>
          </w:p>
        </w:tc>
        <w:tc>
          <w:tcPr>
            <w:tcW w:w="1530" w:type="dxa"/>
            <w:tcBorders>
              <w:top w:val="nil"/>
              <w:left w:val="nil"/>
              <w:bottom w:val="single" w:sz="4" w:space="0" w:color="auto"/>
              <w:right w:val="single" w:sz="4" w:space="0" w:color="auto"/>
            </w:tcBorders>
            <w:shd w:val="clear" w:color="auto" w:fill="auto"/>
            <w:noWrap/>
            <w:vAlign w:val="bottom"/>
            <w:hideMark/>
          </w:tcPr>
          <w:p w14:paraId="435C9980" w14:textId="77777777"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11,100.00 </w:t>
            </w:r>
          </w:p>
        </w:tc>
        <w:tc>
          <w:tcPr>
            <w:tcW w:w="1440" w:type="dxa"/>
            <w:tcBorders>
              <w:top w:val="nil"/>
              <w:left w:val="nil"/>
              <w:bottom w:val="single" w:sz="4" w:space="0" w:color="auto"/>
              <w:right w:val="single" w:sz="4" w:space="0" w:color="auto"/>
            </w:tcBorders>
            <w:shd w:val="clear" w:color="auto" w:fill="auto"/>
            <w:noWrap/>
            <w:vAlign w:val="bottom"/>
            <w:hideMark/>
          </w:tcPr>
          <w:p w14:paraId="5279983E" w14:textId="298A98DC"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11,100.00 </w:t>
            </w:r>
          </w:p>
        </w:tc>
        <w:tc>
          <w:tcPr>
            <w:tcW w:w="1350" w:type="dxa"/>
            <w:tcBorders>
              <w:top w:val="nil"/>
              <w:left w:val="nil"/>
              <w:bottom w:val="single" w:sz="4" w:space="0" w:color="auto"/>
              <w:right w:val="single" w:sz="4" w:space="0" w:color="auto"/>
            </w:tcBorders>
            <w:shd w:val="clear" w:color="auto" w:fill="auto"/>
            <w:noWrap/>
            <w:vAlign w:val="bottom"/>
            <w:hideMark/>
          </w:tcPr>
          <w:p w14:paraId="1DD26D13" w14:textId="72FE1096"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r>
      <w:tr w:rsidR="008C028D" w:rsidRPr="00824BC0" w14:paraId="45867FD4" w14:textId="77777777" w:rsidTr="008C028D">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57E8F883" w14:textId="17CF3412" w:rsidR="008C028D" w:rsidRPr="00824BC0" w:rsidRDefault="008C028D" w:rsidP="008C028D">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September </w:t>
            </w:r>
          </w:p>
        </w:tc>
        <w:tc>
          <w:tcPr>
            <w:tcW w:w="1530" w:type="dxa"/>
            <w:tcBorders>
              <w:top w:val="nil"/>
              <w:left w:val="nil"/>
              <w:bottom w:val="single" w:sz="4" w:space="0" w:color="auto"/>
              <w:right w:val="single" w:sz="4" w:space="0" w:color="auto"/>
            </w:tcBorders>
            <w:shd w:val="clear" w:color="auto" w:fill="auto"/>
            <w:noWrap/>
            <w:vAlign w:val="bottom"/>
            <w:hideMark/>
          </w:tcPr>
          <w:p w14:paraId="1F928EA3" w14:textId="66988452"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5476BCE9" w14:textId="04192BA3"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11,100.00 </w:t>
            </w:r>
          </w:p>
        </w:tc>
        <w:tc>
          <w:tcPr>
            <w:tcW w:w="1530" w:type="dxa"/>
            <w:tcBorders>
              <w:top w:val="nil"/>
              <w:left w:val="nil"/>
              <w:bottom w:val="single" w:sz="4" w:space="0" w:color="auto"/>
              <w:right w:val="single" w:sz="4" w:space="0" w:color="auto"/>
            </w:tcBorders>
            <w:shd w:val="clear" w:color="auto" w:fill="auto"/>
            <w:noWrap/>
            <w:vAlign w:val="bottom"/>
            <w:hideMark/>
          </w:tcPr>
          <w:p w14:paraId="6A3A0B3C" w14:textId="54ABCAA1"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11,100.00 </w:t>
            </w:r>
          </w:p>
        </w:tc>
        <w:tc>
          <w:tcPr>
            <w:tcW w:w="1440" w:type="dxa"/>
            <w:tcBorders>
              <w:top w:val="nil"/>
              <w:left w:val="nil"/>
              <w:bottom w:val="single" w:sz="4" w:space="0" w:color="auto"/>
              <w:right w:val="single" w:sz="4" w:space="0" w:color="auto"/>
            </w:tcBorders>
            <w:shd w:val="clear" w:color="auto" w:fill="auto"/>
            <w:noWrap/>
            <w:vAlign w:val="bottom"/>
            <w:hideMark/>
          </w:tcPr>
          <w:p w14:paraId="4FCDFFC5" w14:textId="5D896817"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11,100.00 </w:t>
            </w:r>
          </w:p>
        </w:tc>
        <w:tc>
          <w:tcPr>
            <w:tcW w:w="1350" w:type="dxa"/>
            <w:tcBorders>
              <w:top w:val="nil"/>
              <w:left w:val="nil"/>
              <w:bottom w:val="single" w:sz="4" w:space="0" w:color="auto"/>
              <w:right w:val="single" w:sz="4" w:space="0" w:color="auto"/>
            </w:tcBorders>
            <w:shd w:val="clear" w:color="auto" w:fill="auto"/>
            <w:noWrap/>
            <w:vAlign w:val="bottom"/>
            <w:hideMark/>
          </w:tcPr>
          <w:p w14:paraId="2CDA15E3" w14:textId="5337C51A"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r>
      <w:tr w:rsidR="008C028D" w:rsidRPr="00824BC0" w14:paraId="1E3C3F0D" w14:textId="77777777" w:rsidTr="008C028D">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53E2C41A" w14:textId="1D9167F7" w:rsidR="008C028D" w:rsidRPr="00824BC0" w:rsidRDefault="008C028D" w:rsidP="008C028D">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October </w:t>
            </w:r>
          </w:p>
        </w:tc>
        <w:tc>
          <w:tcPr>
            <w:tcW w:w="1530" w:type="dxa"/>
            <w:tcBorders>
              <w:top w:val="nil"/>
              <w:left w:val="nil"/>
              <w:bottom w:val="single" w:sz="4" w:space="0" w:color="auto"/>
              <w:right w:val="single" w:sz="4" w:space="0" w:color="auto"/>
            </w:tcBorders>
            <w:shd w:val="clear" w:color="auto" w:fill="auto"/>
            <w:noWrap/>
            <w:vAlign w:val="bottom"/>
            <w:hideMark/>
          </w:tcPr>
          <w:p w14:paraId="3D89FC5A" w14:textId="7315B075"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71A2D98A" w14:textId="64718C84"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0F8082F7" w14:textId="1104D89A"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502CECB6" w14:textId="50B106AA"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350" w:type="dxa"/>
            <w:tcBorders>
              <w:top w:val="nil"/>
              <w:left w:val="nil"/>
              <w:bottom w:val="single" w:sz="4" w:space="0" w:color="auto"/>
              <w:right w:val="single" w:sz="4" w:space="0" w:color="auto"/>
            </w:tcBorders>
            <w:shd w:val="clear" w:color="auto" w:fill="auto"/>
            <w:noWrap/>
            <w:vAlign w:val="bottom"/>
            <w:hideMark/>
          </w:tcPr>
          <w:p w14:paraId="6681D7AF" w14:textId="3AD81D61"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r>
      <w:tr w:rsidR="008C028D" w:rsidRPr="00824BC0" w14:paraId="2DCAA708" w14:textId="77777777" w:rsidTr="008C028D">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084B8D79" w14:textId="5E5984F3" w:rsidR="008C028D" w:rsidRPr="00824BC0" w:rsidRDefault="008C028D" w:rsidP="008C028D">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November </w:t>
            </w:r>
          </w:p>
        </w:tc>
        <w:tc>
          <w:tcPr>
            <w:tcW w:w="1530" w:type="dxa"/>
            <w:tcBorders>
              <w:top w:val="nil"/>
              <w:left w:val="nil"/>
              <w:bottom w:val="single" w:sz="4" w:space="0" w:color="auto"/>
              <w:right w:val="single" w:sz="4" w:space="0" w:color="auto"/>
            </w:tcBorders>
            <w:shd w:val="clear" w:color="auto" w:fill="auto"/>
            <w:noWrap/>
            <w:vAlign w:val="bottom"/>
            <w:hideMark/>
          </w:tcPr>
          <w:p w14:paraId="557F13D4" w14:textId="2BE52F66"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072880B0" w14:textId="78AFE9E4"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37DD9D28" w14:textId="60367508"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4BE2CA5E" w14:textId="2DA2A9B5"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350" w:type="dxa"/>
            <w:tcBorders>
              <w:top w:val="nil"/>
              <w:left w:val="nil"/>
              <w:bottom w:val="single" w:sz="4" w:space="0" w:color="auto"/>
              <w:right w:val="single" w:sz="4" w:space="0" w:color="auto"/>
            </w:tcBorders>
            <w:shd w:val="clear" w:color="auto" w:fill="auto"/>
            <w:noWrap/>
            <w:vAlign w:val="bottom"/>
            <w:hideMark/>
          </w:tcPr>
          <w:p w14:paraId="567A52E3" w14:textId="6967C5F4"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r>
      <w:tr w:rsidR="008C028D" w:rsidRPr="00824BC0" w14:paraId="4E75921C" w14:textId="77777777" w:rsidTr="008C028D">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5276AC35" w14:textId="2B4E5078" w:rsidR="008C028D" w:rsidRPr="00824BC0" w:rsidRDefault="008C028D" w:rsidP="008C028D">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December </w:t>
            </w:r>
          </w:p>
        </w:tc>
        <w:tc>
          <w:tcPr>
            <w:tcW w:w="1530" w:type="dxa"/>
            <w:tcBorders>
              <w:top w:val="nil"/>
              <w:left w:val="nil"/>
              <w:bottom w:val="single" w:sz="4" w:space="0" w:color="auto"/>
              <w:right w:val="single" w:sz="4" w:space="0" w:color="auto"/>
            </w:tcBorders>
            <w:shd w:val="clear" w:color="auto" w:fill="auto"/>
            <w:noWrap/>
            <w:vAlign w:val="bottom"/>
            <w:hideMark/>
          </w:tcPr>
          <w:p w14:paraId="2DB93FFA" w14:textId="5869B9CA"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36D821AD" w14:textId="7217A746"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1C90CB1B" w14:textId="12D4F709"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79CC9BCE" w14:textId="6546B680"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350" w:type="dxa"/>
            <w:tcBorders>
              <w:top w:val="nil"/>
              <w:left w:val="nil"/>
              <w:bottom w:val="single" w:sz="4" w:space="0" w:color="auto"/>
              <w:right w:val="single" w:sz="4" w:space="0" w:color="auto"/>
            </w:tcBorders>
            <w:shd w:val="clear" w:color="auto" w:fill="auto"/>
            <w:noWrap/>
            <w:vAlign w:val="bottom"/>
            <w:hideMark/>
          </w:tcPr>
          <w:p w14:paraId="3982153D" w14:textId="2CCD62F1" w:rsidR="008C028D" w:rsidRPr="00824BC0" w:rsidRDefault="008C028D" w:rsidP="008C028D">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r>
    </w:tbl>
    <w:p w14:paraId="33BABA35" w14:textId="259E1D70" w:rsidR="000D6661" w:rsidRPr="00824BC0" w:rsidRDefault="000D6661">
      <w:pPr>
        <w:rPr>
          <w:rFonts w:ascii="Times New Roman" w:hAnsi="Times New Roman" w:cs="Times New Roman"/>
          <w:bCs/>
          <w:i/>
          <w:sz w:val="24"/>
          <w:szCs w:val="24"/>
        </w:rPr>
      </w:pPr>
    </w:p>
    <w:p w14:paraId="543A6EDF" w14:textId="61772B08" w:rsidR="00024BF0" w:rsidRPr="00824BC0" w:rsidRDefault="00FB76DF" w:rsidP="00FB76DF">
      <w:pPr>
        <w:spacing w:after="0" w:line="240" w:lineRule="auto"/>
        <w:ind w:firstLine="720"/>
        <w:jc w:val="both"/>
        <w:rPr>
          <w:rFonts w:ascii="Times New Roman" w:hAnsi="Times New Roman" w:cs="Times New Roman"/>
          <w:bCs/>
          <w:i/>
          <w:sz w:val="24"/>
          <w:szCs w:val="24"/>
        </w:rPr>
      </w:pPr>
      <w:r w:rsidRPr="00824BC0">
        <w:rPr>
          <w:rFonts w:ascii="Times New Roman" w:hAnsi="Times New Roman" w:cs="Times New Roman"/>
          <w:bCs/>
          <w:i/>
          <w:sz w:val="24"/>
          <w:szCs w:val="24"/>
        </w:rPr>
        <w:t>b.  Due to Pag-IBIG</w:t>
      </w:r>
    </w:p>
    <w:p w14:paraId="54E03974" w14:textId="390904B0" w:rsidR="00FB76DF" w:rsidRPr="00824BC0" w:rsidRDefault="00FB76DF" w:rsidP="00024BF0">
      <w:pPr>
        <w:pStyle w:val="ListParagraph"/>
        <w:ind w:left="0"/>
        <w:contextualSpacing w:val="0"/>
        <w:jc w:val="both"/>
        <w:rPr>
          <w:bCs/>
          <w:iCs/>
          <w:szCs w:val="24"/>
        </w:rPr>
      </w:pPr>
    </w:p>
    <w:tbl>
      <w:tblPr>
        <w:tblW w:w="8635" w:type="dxa"/>
        <w:tblLook w:val="04A0" w:firstRow="1" w:lastRow="0" w:firstColumn="1" w:lastColumn="0" w:noHBand="0" w:noVBand="1"/>
      </w:tblPr>
      <w:tblGrid>
        <w:gridCol w:w="1345"/>
        <w:gridCol w:w="1530"/>
        <w:gridCol w:w="1440"/>
        <w:gridCol w:w="1530"/>
        <w:gridCol w:w="1440"/>
        <w:gridCol w:w="1350"/>
      </w:tblGrid>
      <w:tr w:rsidR="00FB76DF" w:rsidRPr="00824BC0" w14:paraId="019DF1BF" w14:textId="77777777" w:rsidTr="009D7477">
        <w:trPr>
          <w:trHeight w:val="600"/>
          <w:tblHeader/>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B8CA5" w14:textId="77777777" w:rsidR="00FB76DF" w:rsidRPr="00824BC0" w:rsidRDefault="00FB76DF" w:rsidP="00FB76DF">
            <w:pPr>
              <w:spacing w:after="0" w:line="240" w:lineRule="auto"/>
              <w:jc w:val="center"/>
              <w:rPr>
                <w:rFonts w:ascii="Times New Roman" w:eastAsia="Times New Roman" w:hAnsi="Times New Roman" w:cs="Times New Roman"/>
                <w:b/>
                <w:bCs/>
                <w:color w:val="000000"/>
                <w:sz w:val="24"/>
                <w:szCs w:val="24"/>
                <w:lang w:eastAsia="en-PH"/>
              </w:rPr>
            </w:pPr>
            <w:r w:rsidRPr="00824BC0">
              <w:rPr>
                <w:rFonts w:ascii="Times New Roman" w:eastAsia="Times New Roman" w:hAnsi="Times New Roman" w:cs="Times New Roman"/>
                <w:b/>
                <w:bCs/>
                <w:color w:val="000000"/>
                <w:sz w:val="24"/>
                <w:szCs w:val="24"/>
                <w:lang w:eastAsia="en-PH"/>
              </w:rPr>
              <w:t xml:space="preserve">  General Fund 101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FEF7F10" w14:textId="77777777" w:rsidR="00FB76DF" w:rsidRPr="00824BC0" w:rsidRDefault="00FB76DF" w:rsidP="00FB76DF">
            <w:pPr>
              <w:spacing w:after="0" w:line="240" w:lineRule="auto"/>
              <w:jc w:val="center"/>
              <w:rPr>
                <w:rFonts w:ascii="Times New Roman" w:eastAsia="Times New Roman" w:hAnsi="Times New Roman" w:cs="Times New Roman"/>
                <w:b/>
                <w:bCs/>
                <w:color w:val="000000"/>
                <w:sz w:val="24"/>
                <w:szCs w:val="24"/>
                <w:lang w:eastAsia="en-PH"/>
              </w:rPr>
            </w:pPr>
            <w:r w:rsidRPr="00824BC0">
              <w:rPr>
                <w:rFonts w:ascii="Times New Roman" w:eastAsia="Times New Roman" w:hAnsi="Times New Roman" w:cs="Times New Roman"/>
                <w:b/>
                <w:bCs/>
                <w:color w:val="000000"/>
                <w:sz w:val="24"/>
                <w:szCs w:val="24"/>
                <w:lang w:eastAsia="en-PH"/>
              </w:rPr>
              <w:t xml:space="preserve"> Beginning Balance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1EA8306" w14:textId="77777777" w:rsidR="00FB76DF" w:rsidRPr="00824BC0" w:rsidRDefault="00FB76DF" w:rsidP="00FB76DF">
            <w:pPr>
              <w:spacing w:after="0" w:line="240" w:lineRule="auto"/>
              <w:jc w:val="center"/>
              <w:rPr>
                <w:rFonts w:ascii="Times New Roman" w:eastAsia="Times New Roman" w:hAnsi="Times New Roman" w:cs="Times New Roman"/>
                <w:b/>
                <w:bCs/>
                <w:color w:val="000000"/>
                <w:sz w:val="24"/>
                <w:szCs w:val="24"/>
                <w:lang w:eastAsia="en-PH"/>
              </w:rPr>
            </w:pPr>
            <w:r w:rsidRPr="00824BC0">
              <w:rPr>
                <w:rFonts w:ascii="Times New Roman" w:eastAsia="Times New Roman" w:hAnsi="Times New Roman" w:cs="Times New Roman"/>
                <w:b/>
                <w:bCs/>
                <w:color w:val="000000"/>
                <w:sz w:val="24"/>
                <w:szCs w:val="24"/>
                <w:lang w:eastAsia="en-PH"/>
              </w:rPr>
              <w:t xml:space="preserve"> Amount Withheld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CB13A79" w14:textId="66B7D440" w:rsidR="00FB76DF" w:rsidRPr="00824BC0" w:rsidRDefault="00FB76DF" w:rsidP="00FB76DF">
            <w:pPr>
              <w:spacing w:after="0" w:line="240" w:lineRule="auto"/>
              <w:jc w:val="center"/>
              <w:rPr>
                <w:rFonts w:ascii="Times New Roman" w:eastAsia="Times New Roman" w:hAnsi="Times New Roman" w:cs="Times New Roman"/>
                <w:b/>
                <w:bCs/>
                <w:color w:val="000000"/>
                <w:sz w:val="24"/>
                <w:szCs w:val="24"/>
                <w:lang w:eastAsia="en-PH"/>
              </w:rPr>
            </w:pPr>
            <w:r w:rsidRPr="00824BC0">
              <w:rPr>
                <w:rFonts w:ascii="Times New Roman" w:eastAsia="Times New Roman" w:hAnsi="Times New Roman" w:cs="Times New Roman"/>
                <w:b/>
                <w:bCs/>
                <w:color w:val="000000"/>
                <w:sz w:val="24"/>
                <w:szCs w:val="24"/>
                <w:lang w:eastAsia="en-PH"/>
              </w:rPr>
              <w:t xml:space="preserve"> </w:t>
            </w:r>
            <w:r w:rsidR="00196742" w:rsidRPr="00824BC0">
              <w:rPr>
                <w:rFonts w:ascii="Times New Roman" w:eastAsia="Times New Roman" w:hAnsi="Times New Roman" w:cs="Times New Roman"/>
                <w:b/>
                <w:bCs/>
                <w:color w:val="000000"/>
                <w:sz w:val="24"/>
                <w:szCs w:val="24"/>
                <w:lang w:eastAsia="en-PH"/>
              </w:rPr>
              <w:t xml:space="preserve">Total For Remittance </w:t>
            </w:r>
            <w:r w:rsidRPr="00824BC0">
              <w:rPr>
                <w:rFonts w:ascii="Times New Roman" w:eastAsia="Times New Roman" w:hAnsi="Times New Roman" w:cs="Times New Roman"/>
                <w:b/>
                <w:bCs/>
                <w:color w:val="000000"/>
                <w:sz w:val="24"/>
                <w:szCs w:val="24"/>
                <w:lang w:eastAsia="en-PH"/>
              </w:rPr>
              <w:t xml:space="preserve">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61CFDC3" w14:textId="77777777" w:rsidR="00FB76DF" w:rsidRPr="00824BC0" w:rsidRDefault="00FB76DF" w:rsidP="00FB76DF">
            <w:pPr>
              <w:spacing w:after="0" w:line="240" w:lineRule="auto"/>
              <w:jc w:val="center"/>
              <w:rPr>
                <w:rFonts w:ascii="Times New Roman" w:eastAsia="Times New Roman" w:hAnsi="Times New Roman" w:cs="Times New Roman"/>
                <w:b/>
                <w:bCs/>
                <w:color w:val="000000"/>
                <w:sz w:val="24"/>
                <w:szCs w:val="24"/>
                <w:lang w:eastAsia="en-PH"/>
              </w:rPr>
            </w:pPr>
            <w:r w:rsidRPr="00824BC0">
              <w:rPr>
                <w:rFonts w:ascii="Times New Roman" w:eastAsia="Times New Roman" w:hAnsi="Times New Roman" w:cs="Times New Roman"/>
                <w:b/>
                <w:bCs/>
                <w:color w:val="000000"/>
                <w:sz w:val="24"/>
                <w:szCs w:val="24"/>
                <w:lang w:eastAsia="en-PH"/>
              </w:rPr>
              <w:t xml:space="preserve"> Amount Remitted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31400F76" w14:textId="77777777" w:rsidR="00FB76DF" w:rsidRPr="00824BC0" w:rsidRDefault="00FB76DF" w:rsidP="00FB76DF">
            <w:pPr>
              <w:spacing w:after="0" w:line="240" w:lineRule="auto"/>
              <w:jc w:val="center"/>
              <w:rPr>
                <w:rFonts w:ascii="Times New Roman" w:eastAsia="Times New Roman" w:hAnsi="Times New Roman" w:cs="Times New Roman"/>
                <w:b/>
                <w:bCs/>
                <w:color w:val="000000"/>
                <w:sz w:val="24"/>
                <w:szCs w:val="24"/>
                <w:lang w:eastAsia="en-PH"/>
              </w:rPr>
            </w:pPr>
            <w:r w:rsidRPr="00824BC0">
              <w:rPr>
                <w:rFonts w:ascii="Times New Roman" w:eastAsia="Times New Roman" w:hAnsi="Times New Roman" w:cs="Times New Roman"/>
                <w:b/>
                <w:bCs/>
                <w:color w:val="000000"/>
                <w:sz w:val="24"/>
                <w:szCs w:val="24"/>
                <w:lang w:eastAsia="en-PH"/>
              </w:rPr>
              <w:t xml:space="preserve"> Ending Balance </w:t>
            </w:r>
          </w:p>
        </w:tc>
      </w:tr>
      <w:tr w:rsidR="00FB76DF" w:rsidRPr="00824BC0" w14:paraId="500522B9" w14:textId="77777777" w:rsidTr="007F7EEB">
        <w:trPr>
          <w:trHeight w:val="300"/>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234FD1A1" w14:textId="77777777" w:rsidR="00FB76DF" w:rsidRPr="00824BC0" w:rsidRDefault="00FB76DF" w:rsidP="00FB76DF">
            <w:pPr>
              <w:spacing w:after="0" w:line="240" w:lineRule="auto"/>
              <w:jc w:val="center"/>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2021</w:t>
            </w:r>
          </w:p>
        </w:tc>
        <w:tc>
          <w:tcPr>
            <w:tcW w:w="1530" w:type="dxa"/>
            <w:tcBorders>
              <w:top w:val="nil"/>
              <w:left w:val="nil"/>
              <w:bottom w:val="single" w:sz="4" w:space="0" w:color="auto"/>
              <w:right w:val="single" w:sz="4" w:space="0" w:color="auto"/>
            </w:tcBorders>
            <w:shd w:val="clear" w:color="auto" w:fill="auto"/>
            <w:vAlign w:val="center"/>
            <w:hideMark/>
          </w:tcPr>
          <w:p w14:paraId="4829CB88" w14:textId="77777777" w:rsidR="00FB76DF" w:rsidRPr="00824BC0" w:rsidRDefault="00FB76DF" w:rsidP="00FB76DF">
            <w:pPr>
              <w:spacing w:after="0" w:line="240" w:lineRule="auto"/>
              <w:jc w:val="center"/>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w:t>
            </w:r>
          </w:p>
        </w:tc>
        <w:tc>
          <w:tcPr>
            <w:tcW w:w="1440" w:type="dxa"/>
            <w:tcBorders>
              <w:top w:val="nil"/>
              <w:left w:val="nil"/>
              <w:bottom w:val="single" w:sz="4" w:space="0" w:color="auto"/>
              <w:right w:val="single" w:sz="4" w:space="0" w:color="auto"/>
            </w:tcBorders>
            <w:shd w:val="clear" w:color="auto" w:fill="auto"/>
            <w:vAlign w:val="center"/>
            <w:hideMark/>
          </w:tcPr>
          <w:p w14:paraId="0671EEAC" w14:textId="77777777" w:rsidR="00FB76DF" w:rsidRPr="00824BC0" w:rsidRDefault="00FB76DF" w:rsidP="00FB76DF">
            <w:pPr>
              <w:spacing w:after="0" w:line="240" w:lineRule="auto"/>
              <w:jc w:val="center"/>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w:t>
            </w:r>
          </w:p>
        </w:tc>
        <w:tc>
          <w:tcPr>
            <w:tcW w:w="1530" w:type="dxa"/>
            <w:tcBorders>
              <w:top w:val="nil"/>
              <w:left w:val="nil"/>
              <w:bottom w:val="single" w:sz="4" w:space="0" w:color="auto"/>
              <w:right w:val="single" w:sz="4" w:space="0" w:color="auto"/>
            </w:tcBorders>
            <w:shd w:val="clear" w:color="auto" w:fill="auto"/>
            <w:vAlign w:val="center"/>
            <w:hideMark/>
          </w:tcPr>
          <w:p w14:paraId="5BDDF893" w14:textId="77777777" w:rsidR="00FB76DF" w:rsidRPr="00824BC0" w:rsidRDefault="00FB76DF" w:rsidP="00FB76DF">
            <w:pPr>
              <w:spacing w:after="0" w:line="240" w:lineRule="auto"/>
              <w:jc w:val="center"/>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w:t>
            </w:r>
          </w:p>
        </w:tc>
        <w:tc>
          <w:tcPr>
            <w:tcW w:w="1440" w:type="dxa"/>
            <w:tcBorders>
              <w:top w:val="nil"/>
              <w:left w:val="nil"/>
              <w:bottom w:val="single" w:sz="4" w:space="0" w:color="auto"/>
              <w:right w:val="single" w:sz="4" w:space="0" w:color="auto"/>
            </w:tcBorders>
            <w:shd w:val="clear" w:color="auto" w:fill="auto"/>
            <w:vAlign w:val="center"/>
            <w:hideMark/>
          </w:tcPr>
          <w:p w14:paraId="6D96132A" w14:textId="77777777" w:rsidR="00FB76DF" w:rsidRPr="00824BC0" w:rsidRDefault="00FB76DF" w:rsidP="00FB76DF">
            <w:pPr>
              <w:spacing w:after="0" w:line="240" w:lineRule="auto"/>
              <w:jc w:val="center"/>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w:t>
            </w:r>
          </w:p>
        </w:tc>
        <w:tc>
          <w:tcPr>
            <w:tcW w:w="1350" w:type="dxa"/>
            <w:tcBorders>
              <w:top w:val="nil"/>
              <w:left w:val="nil"/>
              <w:bottom w:val="single" w:sz="4" w:space="0" w:color="auto"/>
              <w:right w:val="single" w:sz="4" w:space="0" w:color="auto"/>
            </w:tcBorders>
            <w:shd w:val="clear" w:color="auto" w:fill="auto"/>
            <w:vAlign w:val="center"/>
            <w:hideMark/>
          </w:tcPr>
          <w:p w14:paraId="316A2473" w14:textId="77777777" w:rsidR="00FB76DF" w:rsidRPr="00824BC0" w:rsidRDefault="00FB76DF" w:rsidP="00FB76DF">
            <w:pPr>
              <w:spacing w:after="0" w:line="240" w:lineRule="auto"/>
              <w:jc w:val="center"/>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w:t>
            </w:r>
          </w:p>
        </w:tc>
      </w:tr>
      <w:tr w:rsidR="00FB76DF" w:rsidRPr="00824BC0" w14:paraId="1DC8A5C7" w14:textId="77777777" w:rsidTr="007F7EEB">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7011EFF7" w14:textId="350621D7" w:rsidR="00FB76DF" w:rsidRPr="00824BC0" w:rsidRDefault="00FB76DF" w:rsidP="00FB76DF">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January </w:t>
            </w:r>
          </w:p>
        </w:tc>
        <w:tc>
          <w:tcPr>
            <w:tcW w:w="1530" w:type="dxa"/>
            <w:tcBorders>
              <w:top w:val="nil"/>
              <w:left w:val="nil"/>
              <w:bottom w:val="single" w:sz="4" w:space="0" w:color="auto"/>
              <w:right w:val="single" w:sz="4" w:space="0" w:color="auto"/>
            </w:tcBorders>
            <w:shd w:val="clear" w:color="auto" w:fill="auto"/>
            <w:noWrap/>
            <w:vAlign w:val="bottom"/>
            <w:hideMark/>
          </w:tcPr>
          <w:p w14:paraId="7B2FD1FC" w14:textId="71396BEB" w:rsidR="00FB76DF" w:rsidRPr="00824BC0" w:rsidRDefault="00FB76DF" w:rsidP="00FB76DF">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0.00</w:t>
            </w:r>
          </w:p>
        </w:tc>
        <w:tc>
          <w:tcPr>
            <w:tcW w:w="1440" w:type="dxa"/>
            <w:tcBorders>
              <w:top w:val="nil"/>
              <w:left w:val="nil"/>
              <w:bottom w:val="single" w:sz="4" w:space="0" w:color="auto"/>
              <w:right w:val="single" w:sz="4" w:space="0" w:color="auto"/>
            </w:tcBorders>
            <w:shd w:val="clear" w:color="auto" w:fill="auto"/>
            <w:noWrap/>
            <w:vAlign w:val="bottom"/>
            <w:hideMark/>
          </w:tcPr>
          <w:p w14:paraId="7497A91B" w14:textId="630DDAB3" w:rsidR="00FB76DF" w:rsidRPr="00824BC0" w:rsidRDefault="00FB76DF" w:rsidP="00FB76DF">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96,062.32 </w:t>
            </w:r>
          </w:p>
        </w:tc>
        <w:tc>
          <w:tcPr>
            <w:tcW w:w="1530" w:type="dxa"/>
            <w:tcBorders>
              <w:top w:val="nil"/>
              <w:left w:val="nil"/>
              <w:bottom w:val="single" w:sz="4" w:space="0" w:color="auto"/>
              <w:right w:val="single" w:sz="4" w:space="0" w:color="auto"/>
            </w:tcBorders>
            <w:shd w:val="clear" w:color="auto" w:fill="auto"/>
            <w:noWrap/>
            <w:vAlign w:val="bottom"/>
            <w:hideMark/>
          </w:tcPr>
          <w:p w14:paraId="793F54AF" w14:textId="17B2D23F" w:rsidR="00FB76DF" w:rsidRPr="00824BC0" w:rsidRDefault="00FB76DF" w:rsidP="00FB76DF">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96,062.32 </w:t>
            </w:r>
          </w:p>
        </w:tc>
        <w:tc>
          <w:tcPr>
            <w:tcW w:w="1440" w:type="dxa"/>
            <w:tcBorders>
              <w:top w:val="nil"/>
              <w:left w:val="nil"/>
              <w:bottom w:val="single" w:sz="4" w:space="0" w:color="auto"/>
              <w:right w:val="single" w:sz="4" w:space="0" w:color="auto"/>
            </w:tcBorders>
            <w:shd w:val="clear" w:color="auto" w:fill="auto"/>
            <w:noWrap/>
            <w:vAlign w:val="bottom"/>
            <w:hideMark/>
          </w:tcPr>
          <w:p w14:paraId="0DA0C2BA" w14:textId="416CEE4B" w:rsidR="00FB76DF" w:rsidRPr="00824BC0" w:rsidRDefault="00FB76DF" w:rsidP="00FB76DF">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96,062.32 </w:t>
            </w:r>
          </w:p>
        </w:tc>
        <w:tc>
          <w:tcPr>
            <w:tcW w:w="1350" w:type="dxa"/>
            <w:tcBorders>
              <w:top w:val="nil"/>
              <w:left w:val="nil"/>
              <w:bottom w:val="single" w:sz="4" w:space="0" w:color="auto"/>
              <w:right w:val="single" w:sz="4" w:space="0" w:color="auto"/>
            </w:tcBorders>
            <w:shd w:val="clear" w:color="auto" w:fill="auto"/>
            <w:noWrap/>
            <w:vAlign w:val="bottom"/>
            <w:hideMark/>
          </w:tcPr>
          <w:p w14:paraId="6B5B0480" w14:textId="514DE990" w:rsidR="00FB76DF" w:rsidRPr="00824BC0" w:rsidRDefault="00FB76DF" w:rsidP="00FB76DF">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w:t>
            </w:r>
            <w:r w:rsidR="007F7EEB" w:rsidRPr="00824BC0">
              <w:rPr>
                <w:rFonts w:ascii="Times New Roman" w:eastAsia="Times New Roman" w:hAnsi="Times New Roman" w:cs="Times New Roman"/>
                <w:color w:val="000000"/>
                <w:sz w:val="24"/>
                <w:szCs w:val="24"/>
                <w:lang w:eastAsia="en-PH"/>
              </w:rPr>
              <w:t xml:space="preserve"> </w:t>
            </w:r>
            <w:r w:rsidRPr="00824BC0">
              <w:rPr>
                <w:rFonts w:ascii="Times New Roman" w:eastAsia="Times New Roman" w:hAnsi="Times New Roman" w:cs="Times New Roman"/>
                <w:color w:val="000000"/>
                <w:sz w:val="24"/>
                <w:szCs w:val="24"/>
                <w:lang w:eastAsia="en-PH"/>
              </w:rPr>
              <w:t>0.00</w:t>
            </w:r>
          </w:p>
        </w:tc>
      </w:tr>
      <w:tr w:rsidR="007F7EEB" w:rsidRPr="00824BC0" w14:paraId="691DC404" w14:textId="77777777" w:rsidTr="007F7EEB">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358C7FC3" w14:textId="474CF77E" w:rsidR="007F7EEB" w:rsidRPr="00824BC0" w:rsidRDefault="007F7EEB" w:rsidP="007F7EEB">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February </w:t>
            </w:r>
          </w:p>
        </w:tc>
        <w:tc>
          <w:tcPr>
            <w:tcW w:w="1530" w:type="dxa"/>
            <w:tcBorders>
              <w:top w:val="nil"/>
              <w:left w:val="nil"/>
              <w:bottom w:val="single" w:sz="4" w:space="0" w:color="auto"/>
              <w:right w:val="single" w:sz="4" w:space="0" w:color="auto"/>
            </w:tcBorders>
            <w:shd w:val="clear" w:color="auto" w:fill="auto"/>
            <w:noWrap/>
            <w:vAlign w:val="bottom"/>
            <w:hideMark/>
          </w:tcPr>
          <w:p w14:paraId="6A0E25B8" w14:textId="0C20B555"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3BC9E16E" w14:textId="23C75030"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101,599.85 </w:t>
            </w:r>
          </w:p>
        </w:tc>
        <w:tc>
          <w:tcPr>
            <w:tcW w:w="1530" w:type="dxa"/>
            <w:tcBorders>
              <w:top w:val="nil"/>
              <w:left w:val="nil"/>
              <w:bottom w:val="single" w:sz="4" w:space="0" w:color="auto"/>
              <w:right w:val="single" w:sz="4" w:space="0" w:color="auto"/>
            </w:tcBorders>
            <w:shd w:val="clear" w:color="auto" w:fill="auto"/>
            <w:noWrap/>
            <w:vAlign w:val="bottom"/>
            <w:hideMark/>
          </w:tcPr>
          <w:p w14:paraId="4ADA0DC8" w14:textId="305C0EEA"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101,599.85 </w:t>
            </w:r>
          </w:p>
        </w:tc>
        <w:tc>
          <w:tcPr>
            <w:tcW w:w="1440" w:type="dxa"/>
            <w:tcBorders>
              <w:top w:val="nil"/>
              <w:left w:val="nil"/>
              <w:bottom w:val="single" w:sz="4" w:space="0" w:color="auto"/>
              <w:right w:val="single" w:sz="4" w:space="0" w:color="auto"/>
            </w:tcBorders>
            <w:shd w:val="clear" w:color="auto" w:fill="auto"/>
            <w:noWrap/>
            <w:vAlign w:val="bottom"/>
            <w:hideMark/>
          </w:tcPr>
          <w:p w14:paraId="2A4F7CD0" w14:textId="4E297EBB"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350" w:type="dxa"/>
            <w:tcBorders>
              <w:top w:val="nil"/>
              <w:left w:val="nil"/>
              <w:bottom w:val="single" w:sz="4" w:space="0" w:color="auto"/>
              <w:right w:val="single" w:sz="4" w:space="0" w:color="auto"/>
            </w:tcBorders>
            <w:shd w:val="clear" w:color="auto" w:fill="auto"/>
            <w:noWrap/>
            <w:vAlign w:val="bottom"/>
            <w:hideMark/>
          </w:tcPr>
          <w:p w14:paraId="4673F228" w14:textId="28EFAB05"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101,599.85 </w:t>
            </w:r>
          </w:p>
        </w:tc>
      </w:tr>
      <w:tr w:rsidR="007F7EEB" w:rsidRPr="00824BC0" w14:paraId="02354C96" w14:textId="77777777" w:rsidTr="007F7EEB">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35F5C557" w14:textId="0D80A58D" w:rsidR="007F7EEB" w:rsidRPr="00824BC0" w:rsidRDefault="007F7EEB" w:rsidP="007F7EEB">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March </w:t>
            </w:r>
          </w:p>
        </w:tc>
        <w:tc>
          <w:tcPr>
            <w:tcW w:w="1530" w:type="dxa"/>
            <w:tcBorders>
              <w:top w:val="nil"/>
              <w:left w:val="nil"/>
              <w:bottom w:val="single" w:sz="4" w:space="0" w:color="auto"/>
              <w:right w:val="single" w:sz="4" w:space="0" w:color="auto"/>
            </w:tcBorders>
            <w:shd w:val="clear" w:color="auto" w:fill="auto"/>
            <w:noWrap/>
            <w:vAlign w:val="bottom"/>
            <w:hideMark/>
          </w:tcPr>
          <w:p w14:paraId="30A0660F" w14:textId="1B5BD7AF"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101,599.85 </w:t>
            </w:r>
          </w:p>
        </w:tc>
        <w:tc>
          <w:tcPr>
            <w:tcW w:w="1440" w:type="dxa"/>
            <w:tcBorders>
              <w:top w:val="nil"/>
              <w:left w:val="nil"/>
              <w:bottom w:val="single" w:sz="4" w:space="0" w:color="auto"/>
              <w:right w:val="single" w:sz="4" w:space="0" w:color="auto"/>
            </w:tcBorders>
            <w:shd w:val="clear" w:color="auto" w:fill="auto"/>
            <w:noWrap/>
            <w:vAlign w:val="bottom"/>
            <w:hideMark/>
          </w:tcPr>
          <w:p w14:paraId="147823EB" w14:textId="2D6E16AA"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107,807.58 </w:t>
            </w:r>
          </w:p>
        </w:tc>
        <w:tc>
          <w:tcPr>
            <w:tcW w:w="1530" w:type="dxa"/>
            <w:tcBorders>
              <w:top w:val="nil"/>
              <w:left w:val="nil"/>
              <w:bottom w:val="single" w:sz="4" w:space="0" w:color="auto"/>
              <w:right w:val="single" w:sz="4" w:space="0" w:color="auto"/>
            </w:tcBorders>
            <w:shd w:val="clear" w:color="auto" w:fill="auto"/>
            <w:noWrap/>
            <w:vAlign w:val="bottom"/>
            <w:hideMark/>
          </w:tcPr>
          <w:p w14:paraId="6006B95F" w14:textId="77777777"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209,407.43 </w:t>
            </w:r>
          </w:p>
        </w:tc>
        <w:tc>
          <w:tcPr>
            <w:tcW w:w="1440" w:type="dxa"/>
            <w:tcBorders>
              <w:top w:val="nil"/>
              <w:left w:val="nil"/>
              <w:bottom w:val="single" w:sz="4" w:space="0" w:color="auto"/>
              <w:right w:val="single" w:sz="4" w:space="0" w:color="auto"/>
            </w:tcBorders>
            <w:shd w:val="clear" w:color="auto" w:fill="auto"/>
            <w:noWrap/>
            <w:vAlign w:val="bottom"/>
            <w:hideMark/>
          </w:tcPr>
          <w:p w14:paraId="7D026AE4" w14:textId="7368332C"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209,407.43 </w:t>
            </w:r>
          </w:p>
        </w:tc>
        <w:tc>
          <w:tcPr>
            <w:tcW w:w="1350" w:type="dxa"/>
            <w:tcBorders>
              <w:top w:val="nil"/>
              <w:left w:val="nil"/>
              <w:bottom w:val="single" w:sz="4" w:space="0" w:color="auto"/>
              <w:right w:val="single" w:sz="4" w:space="0" w:color="auto"/>
            </w:tcBorders>
            <w:shd w:val="clear" w:color="auto" w:fill="auto"/>
            <w:noWrap/>
            <w:vAlign w:val="bottom"/>
            <w:hideMark/>
          </w:tcPr>
          <w:p w14:paraId="60CBB6EB" w14:textId="42764B92"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r>
      <w:tr w:rsidR="007F7EEB" w:rsidRPr="00824BC0" w14:paraId="07548112" w14:textId="77777777" w:rsidTr="007F7EEB">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51C7C998" w14:textId="4F3DFEBF" w:rsidR="007F7EEB" w:rsidRPr="00824BC0" w:rsidRDefault="007F7EEB" w:rsidP="007F7EEB">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April </w:t>
            </w:r>
          </w:p>
        </w:tc>
        <w:tc>
          <w:tcPr>
            <w:tcW w:w="1530" w:type="dxa"/>
            <w:tcBorders>
              <w:top w:val="nil"/>
              <w:left w:val="nil"/>
              <w:bottom w:val="single" w:sz="4" w:space="0" w:color="auto"/>
              <w:right w:val="single" w:sz="4" w:space="0" w:color="auto"/>
            </w:tcBorders>
            <w:shd w:val="clear" w:color="auto" w:fill="auto"/>
            <w:noWrap/>
            <w:vAlign w:val="bottom"/>
            <w:hideMark/>
          </w:tcPr>
          <w:p w14:paraId="788DA169" w14:textId="22110943"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6C763E24" w14:textId="029D03DE"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103,537.06 </w:t>
            </w:r>
          </w:p>
        </w:tc>
        <w:tc>
          <w:tcPr>
            <w:tcW w:w="1530" w:type="dxa"/>
            <w:tcBorders>
              <w:top w:val="nil"/>
              <w:left w:val="nil"/>
              <w:bottom w:val="single" w:sz="4" w:space="0" w:color="auto"/>
              <w:right w:val="single" w:sz="4" w:space="0" w:color="auto"/>
            </w:tcBorders>
            <w:shd w:val="clear" w:color="auto" w:fill="auto"/>
            <w:noWrap/>
            <w:vAlign w:val="bottom"/>
            <w:hideMark/>
          </w:tcPr>
          <w:p w14:paraId="0F3AD4CE" w14:textId="77777777"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103,537.06 </w:t>
            </w:r>
          </w:p>
        </w:tc>
        <w:tc>
          <w:tcPr>
            <w:tcW w:w="1440" w:type="dxa"/>
            <w:tcBorders>
              <w:top w:val="nil"/>
              <w:left w:val="nil"/>
              <w:bottom w:val="single" w:sz="4" w:space="0" w:color="auto"/>
              <w:right w:val="single" w:sz="4" w:space="0" w:color="auto"/>
            </w:tcBorders>
            <w:shd w:val="clear" w:color="auto" w:fill="auto"/>
            <w:noWrap/>
            <w:vAlign w:val="bottom"/>
            <w:hideMark/>
          </w:tcPr>
          <w:p w14:paraId="5F02A1B3" w14:textId="31ADCF12"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350" w:type="dxa"/>
            <w:tcBorders>
              <w:top w:val="nil"/>
              <w:left w:val="nil"/>
              <w:bottom w:val="single" w:sz="4" w:space="0" w:color="auto"/>
              <w:right w:val="single" w:sz="4" w:space="0" w:color="auto"/>
            </w:tcBorders>
            <w:shd w:val="clear" w:color="auto" w:fill="auto"/>
            <w:noWrap/>
            <w:vAlign w:val="bottom"/>
            <w:hideMark/>
          </w:tcPr>
          <w:p w14:paraId="03023915" w14:textId="73EDA2C1"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103,537.06 </w:t>
            </w:r>
          </w:p>
        </w:tc>
      </w:tr>
      <w:tr w:rsidR="007F7EEB" w:rsidRPr="00824BC0" w14:paraId="6EABC54C" w14:textId="77777777" w:rsidTr="007F7EEB">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4FE849FC" w14:textId="7E89AF4F" w:rsidR="007F7EEB" w:rsidRPr="00824BC0" w:rsidRDefault="007F7EEB" w:rsidP="007F7EEB">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May </w:t>
            </w:r>
          </w:p>
        </w:tc>
        <w:tc>
          <w:tcPr>
            <w:tcW w:w="1530" w:type="dxa"/>
            <w:tcBorders>
              <w:top w:val="nil"/>
              <w:left w:val="nil"/>
              <w:bottom w:val="single" w:sz="4" w:space="0" w:color="auto"/>
              <w:right w:val="single" w:sz="4" w:space="0" w:color="auto"/>
            </w:tcBorders>
            <w:shd w:val="clear" w:color="auto" w:fill="auto"/>
            <w:noWrap/>
            <w:vAlign w:val="bottom"/>
            <w:hideMark/>
          </w:tcPr>
          <w:p w14:paraId="1D6B2D18" w14:textId="03176ACE"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103,537.06 </w:t>
            </w:r>
          </w:p>
        </w:tc>
        <w:tc>
          <w:tcPr>
            <w:tcW w:w="1440" w:type="dxa"/>
            <w:tcBorders>
              <w:top w:val="nil"/>
              <w:left w:val="nil"/>
              <w:bottom w:val="single" w:sz="4" w:space="0" w:color="auto"/>
              <w:right w:val="single" w:sz="4" w:space="0" w:color="auto"/>
            </w:tcBorders>
            <w:shd w:val="clear" w:color="auto" w:fill="auto"/>
            <w:noWrap/>
            <w:vAlign w:val="bottom"/>
            <w:hideMark/>
          </w:tcPr>
          <w:p w14:paraId="33ADB322" w14:textId="3469131D"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103,537.06 </w:t>
            </w:r>
          </w:p>
        </w:tc>
        <w:tc>
          <w:tcPr>
            <w:tcW w:w="1530" w:type="dxa"/>
            <w:tcBorders>
              <w:top w:val="nil"/>
              <w:left w:val="nil"/>
              <w:bottom w:val="single" w:sz="4" w:space="0" w:color="auto"/>
              <w:right w:val="single" w:sz="4" w:space="0" w:color="auto"/>
            </w:tcBorders>
            <w:shd w:val="clear" w:color="auto" w:fill="auto"/>
            <w:noWrap/>
            <w:vAlign w:val="bottom"/>
            <w:hideMark/>
          </w:tcPr>
          <w:p w14:paraId="29BDE8C8" w14:textId="77777777"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207,074.12 </w:t>
            </w:r>
          </w:p>
        </w:tc>
        <w:tc>
          <w:tcPr>
            <w:tcW w:w="1440" w:type="dxa"/>
            <w:tcBorders>
              <w:top w:val="nil"/>
              <w:left w:val="nil"/>
              <w:bottom w:val="single" w:sz="4" w:space="0" w:color="auto"/>
              <w:right w:val="single" w:sz="4" w:space="0" w:color="auto"/>
            </w:tcBorders>
            <w:shd w:val="clear" w:color="auto" w:fill="auto"/>
            <w:noWrap/>
            <w:vAlign w:val="bottom"/>
            <w:hideMark/>
          </w:tcPr>
          <w:p w14:paraId="75981ACB" w14:textId="3E0F14CE"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207,074.12 </w:t>
            </w:r>
          </w:p>
        </w:tc>
        <w:tc>
          <w:tcPr>
            <w:tcW w:w="1350" w:type="dxa"/>
            <w:tcBorders>
              <w:top w:val="nil"/>
              <w:left w:val="nil"/>
              <w:bottom w:val="single" w:sz="4" w:space="0" w:color="auto"/>
              <w:right w:val="single" w:sz="4" w:space="0" w:color="auto"/>
            </w:tcBorders>
            <w:shd w:val="clear" w:color="auto" w:fill="auto"/>
            <w:noWrap/>
            <w:vAlign w:val="bottom"/>
            <w:hideMark/>
          </w:tcPr>
          <w:p w14:paraId="6748CB4A" w14:textId="2D7AF57A"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r>
      <w:tr w:rsidR="007F7EEB" w:rsidRPr="00824BC0" w14:paraId="692EBE3F" w14:textId="77777777" w:rsidTr="007F7EEB">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4EBCF8A2" w14:textId="61281D63" w:rsidR="007F7EEB" w:rsidRPr="00824BC0" w:rsidRDefault="007F7EEB" w:rsidP="007F7EEB">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June </w:t>
            </w:r>
          </w:p>
        </w:tc>
        <w:tc>
          <w:tcPr>
            <w:tcW w:w="1530" w:type="dxa"/>
            <w:tcBorders>
              <w:top w:val="nil"/>
              <w:left w:val="nil"/>
              <w:bottom w:val="single" w:sz="4" w:space="0" w:color="auto"/>
              <w:right w:val="single" w:sz="4" w:space="0" w:color="auto"/>
            </w:tcBorders>
            <w:shd w:val="clear" w:color="auto" w:fill="auto"/>
            <w:noWrap/>
            <w:vAlign w:val="bottom"/>
            <w:hideMark/>
          </w:tcPr>
          <w:p w14:paraId="429B3ACA" w14:textId="305F09D2"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582B2C5A" w14:textId="49087ABB"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93,539.97 </w:t>
            </w:r>
          </w:p>
        </w:tc>
        <w:tc>
          <w:tcPr>
            <w:tcW w:w="1530" w:type="dxa"/>
            <w:tcBorders>
              <w:top w:val="nil"/>
              <w:left w:val="nil"/>
              <w:bottom w:val="single" w:sz="4" w:space="0" w:color="auto"/>
              <w:right w:val="single" w:sz="4" w:space="0" w:color="auto"/>
            </w:tcBorders>
            <w:shd w:val="clear" w:color="auto" w:fill="auto"/>
            <w:noWrap/>
            <w:vAlign w:val="bottom"/>
            <w:hideMark/>
          </w:tcPr>
          <w:p w14:paraId="0B5151CA" w14:textId="77777777"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93,539.97 </w:t>
            </w:r>
          </w:p>
        </w:tc>
        <w:tc>
          <w:tcPr>
            <w:tcW w:w="1440" w:type="dxa"/>
            <w:tcBorders>
              <w:top w:val="nil"/>
              <w:left w:val="nil"/>
              <w:bottom w:val="single" w:sz="4" w:space="0" w:color="auto"/>
              <w:right w:val="single" w:sz="4" w:space="0" w:color="auto"/>
            </w:tcBorders>
            <w:shd w:val="clear" w:color="auto" w:fill="auto"/>
            <w:noWrap/>
            <w:vAlign w:val="bottom"/>
            <w:hideMark/>
          </w:tcPr>
          <w:p w14:paraId="49BB64BC" w14:textId="65592FAC"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93,439.97 </w:t>
            </w:r>
          </w:p>
        </w:tc>
        <w:tc>
          <w:tcPr>
            <w:tcW w:w="1350" w:type="dxa"/>
            <w:tcBorders>
              <w:top w:val="nil"/>
              <w:left w:val="nil"/>
              <w:bottom w:val="single" w:sz="4" w:space="0" w:color="auto"/>
              <w:right w:val="single" w:sz="4" w:space="0" w:color="auto"/>
            </w:tcBorders>
            <w:shd w:val="clear" w:color="auto" w:fill="auto"/>
            <w:noWrap/>
            <w:vAlign w:val="bottom"/>
            <w:hideMark/>
          </w:tcPr>
          <w:p w14:paraId="35145C89" w14:textId="2986CE39"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100.00 </w:t>
            </w:r>
          </w:p>
        </w:tc>
      </w:tr>
      <w:tr w:rsidR="007F7EEB" w:rsidRPr="00824BC0" w14:paraId="1AACB5F8" w14:textId="77777777" w:rsidTr="007F7EEB">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414565DB" w14:textId="33A23A66" w:rsidR="007F7EEB" w:rsidRPr="00824BC0" w:rsidRDefault="007F7EEB" w:rsidP="007F7EEB">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July </w:t>
            </w:r>
          </w:p>
        </w:tc>
        <w:tc>
          <w:tcPr>
            <w:tcW w:w="1530" w:type="dxa"/>
            <w:tcBorders>
              <w:top w:val="nil"/>
              <w:left w:val="nil"/>
              <w:bottom w:val="single" w:sz="4" w:space="0" w:color="auto"/>
              <w:right w:val="single" w:sz="4" w:space="0" w:color="auto"/>
            </w:tcBorders>
            <w:shd w:val="clear" w:color="auto" w:fill="auto"/>
            <w:noWrap/>
            <w:vAlign w:val="bottom"/>
            <w:hideMark/>
          </w:tcPr>
          <w:p w14:paraId="1E615CC6" w14:textId="71A71ECA"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100.00 </w:t>
            </w:r>
          </w:p>
        </w:tc>
        <w:tc>
          <w:tcPr>
            <w:tcW w:w="1440" w:type="dxa"/>
            <w:tcBorders>
              <w:top w:val="nil"/>
              <w:left w:val="nil"/>
              <w:bottom w:val="single" w:sz="4" w:space="0" w:color="auto"/>
              <w:right w:val="single" w:sz="4" w:space="0" w:color="auto"/>
            </w:tcBorders>
            <w:shd w:val="clear" w:color="auto" w:fill="auto"/>
            <w:noWrap/>
            <w:vAlign w:val="bottom"/>
            <w:hideMark/>
          </w:tcPr>
          <w:p w14:paraId="1830E615" w14:textId="33550D04"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98,381.30 </w:t>
            </w:r>
          </w:p>
        </w:tc>
        <w:tc>
          <w:tcPr>
            <w:tcW w:w="1530" w:type="dxa"/>
            <w:tcBorders>
              <w:top w:val="nil"/>
              <w:left w:val="nil"/>
              <w:bottom w:val="single" w:sz="4" w:space="0" w:color="auto"/>
              <w:right w:val="single" w:sz="4" w:space="0" w:color="auto"/>
            </w:tcBorders>
            <w:shd w:val="clear" w:color="auto" w:fill="auto"/>
            <w:noWrap/>
            <w:vAlign w:val="bottom"/>
            <w:hideMark/>
          </w:tcPr>
          <w:p w14:paraId="26F7786A" w14:textId="77777777"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98,481.30 </w:t>
            </w:r>
          </w:p>
        </w:tc>
        <w:tc>
          <w:tcPr>
            <w:tcW w:w="1440" w:type="dxa"/>
            <w:tcBorders>
              <w:top w:val="nil"/>
              <w:left w:val="nil"/>
              <w:bottom w:val="single" w:sz="4" w:space="0" w:color="auto"/>
              <w:right w:val="single" w:sz="4" w:space="0" w:color="auto"/>
            </w:tcBorders>
            <w:shd w:val="clear" w:color="auto" w:fill="auto"/>
            <w:noWrap/>
            <w:vAlign w:val="bottom"/>
            <w:hideMark/>
          </w:tcPr>
          <w:p w14:paraId="7ED34A9A" w14:textId="60E12001"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98,381.30 </w:t>
            </w:r>
          </w:p>
        </w:tc>
        <w:tc>
          <w:tcPr>
            <w:tcW w:w="1350" w:type="dxa"/>
            <w:tcBorders>
              <w:top w:val="nil"/>
              <w:left w:val="nil"/>
              <w:bottom w:val="single" w:sz="4" w:space="0" w:color="auto"/>
              <w:right w:val="single" w:sz="4" w:space="0" w:color="auto"/>
            </w:tcBorders>
            <w:shd w:val="clear" w:color="auto" w:fill="auto"/>
            <w:noWrap/>
            <w:vAlign w:val="bottom"/>
            <w:hideMark/>
          </w:tcPr>
          <w:p w14:paraId="0AE1FCD2" w14:textId="3795A021"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100.00 </w:t>
            </w:r>
          </w:p>
        </w:tc>
      </w:tr>
      <w:tr w:rsidR="007F7EEB" w:rsidRPr="00824BC0" w14:paraId="19F9692A" w14:textId="77777777" w:rsidTr="007F7EEB">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6ECDAEFA" w14:textId="022CDCB2" w:rsidR="007F7EEB" w:rsidRPr="00824BC0" w:rsidRDefault="007F7EEB" w:rsidP="007F7EEB">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August </w:t>
            </w:r>
          </w:p>
        </w:tc>
        <w:tc>
          <w:tcPr>
            <w:tcW w:w="1530" w:type="dxa"/>
            <w:tcBorders>
              <w:top w:val="nil"/>
              <w:left w:val="nil"/>
              <w:bottom w:val="single" w:sz="4" w:space="0" w:color="auto"/>
              <w:right w:val="single" w:sz="4" w:space="0" w:color="auto"/>
            </w:tcBorders>
            <w:shd w:val="clear" w:color="auto" w:fill="auto"/>
            <w:noWrap/>
            <w:vAlign w:val="bottom"/>
            <w:hideMark/>
          </w:tcPr>
          <w:p w14:paraId="63BE9C63" w14:textId="0E1B4FD1"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100.00 </w:t>
            </w:r>
          </w:p>
        </w:tc>
        <w:tc>
          <w:tcPr>
            <w:tcW w:w="1440" w:type="dxa"/>
            <w:tcBorders>
              <w:top w:val="nil"/>
              <w:left w:val="nil"/>
              <w:bottom w:val="single" w:sz="4" w:space="0" w:color="auto"/>
              <w:right w:val="single" w:sz="4" w:space="0" w:color="auto"/>
            </w:tcBorders>
            <w:shd w:val="clear" w:color="auto" w:fill="auto"/>
            <w:noWrap/>
            <w:vAlign w:val="bottom"/>
            <w:hideMark/>
          </w:tcPr>
          <w:p w14:paraId="22826DA4" w14:textId="48D1AC6A"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107,593.58 </w:t>
            </w:r>
          </w:p>
        </w:tc>
        <w:tc>
          <w:tcPr>
            <w:tcW w:w="1530" w:type="dxa"/>
            <w:tcBorders>
              <w:top w:val="nil"/>
              <w:left w:val="nil"/>
              <w:bottom w:val="single" w:sz="4" w:space="0" w:color="auto"/>
              <w:right w:val="single" w:sz="4" w:space="0" w:color="auto"/>
            </w:tcBorders>
            <w:shd w:val="clear" w:color="auto" w:fill="auto"/>
            <w:noWrap/>
            <w:vAlign w:val="bottom"/>
            <w:hideMark/>
          </w:tcPr>
          <w:p w14:paraId="00B4E0BB" w14:textId="2ED044C9"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107,693.58 </w:t>
            </w:r>
          </w:p>
        </w:tc>
        <w:tc>
          <w:tcPr>
            <w:tcW w:w="1440" w:type="dxa"/>
            <w:tcBorders>
              <w:top w:val="nil"/>
              <w:left w:val="nil"/>
              <w:bottom w:val="single" w:sz="4" w:space="0" w:color="auto"/>
              <w:right w:val="single" w:sz="4" w:space="0" w:color="auto"/>
            </w:tcBorders>
            <w:shd w:val="clear" w:color="auto" w:fill="auto"/>
            <w:noWrap/>
            <w:vAlign w:val="bottom"/>
            <w:hideMark/>
          </w:tcPr>
          <w:p w14:paraId="361E2998" w14:textId="06EBAA8A"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107,693.58 </w:t>
            </w:r>
          </w:p>
        </w:tc>
        <w:tc>
          <w:tcPr>
            <w:tcW w:w="1350" w:type="dxa"/>
            <w:tcBorders>
              <w:top w:val="nil"/>
              <w:left w:val="nil"/>
              <w:bottom w:val="single" w:sz="4" w:space="0" w:color="auto"/>
              <w:right w:val="single" w:sz="4" w:space="0" w:color="auto"/>
            </w:tcBorders>
            <w:shd w:val="clear" w:color="auto" w:fill="auto"/>
            <w:noWrap/>
            <w:vAlign w:val="bottom"/>
            <w:hideMark/>
          </w:tcPr>
          <w:p w14:paraId="3E2E86E2" w14:textId="0C126505"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r>
      <w:tr w:rsidR="007F7EEB" w:rsidRPr="00824BC0" w14:paraId="1EFCF4DF" w14:textId="77777777" w:rsidTr="007F7EEB">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10443AAA" w14:textId="38BA2EC8" w:rsidR="007F7EEB" w:rsidRPr="00824BC0" w:rsidRDefault="007F7EEB" w:rsidP="007F7EEB">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September </w:t>
            </w:r>
          </w:p>
        </w:tc>
        <w:tc>
          <w:tcPr>
            <w:tcW w:w="1530" w:type="dxa"/>
            <w:tcBorders>
              <w:top w:val="nil"/>
              <w:left w:val="nil"/>
              <w:bottom w:val="single" w:sz="4" w:space="0" w:color="auto"/>
              <w:right w:val="single" w:sz="4" w:space="0" w:color="auto"/>
            </w:tcBorders>
            <w:shd w:val="clear" w:color="auto" w:fill="auto"/>
            <w:noWrap/>
            <w:vAlign w:val="bottom"/>
            <w:hideMark/>
          </w:tcPr>
          <w:p w14:paraId="248B4D66" w14:textId="61CD9931"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0F24FA08" w14:textId="277ADDCB"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114,526.23 </w:t>
            </w:r>
          </w:p>
        </w:tc>
        <w:tc>
          <w:tcPr>
            <w:tcW w:w="1530" w:type="dxa"/>
            <w:tcBorders>
              <w:top w:val="nil"/>
              <w:left w:val="nil"/>
              <w:bottom w:val="single" w:sz="4" w:space="0" w:color="auto"/>
              <w:right w:val="single" w:sz="4" w:space="0" w:color="auto"/>
            </w:tcBorders>
            <w:shd w:val="clear" w:color="auto" w:fill="auto"/>
            <w:noWrap/>
            <w:vAlign w:val="bottom"/>
            <w:hideMark/>
          </w:tcPr>
          <w:p w14:paraId="1898AC52" w14:textId="77777777"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114,526.23 </w:t>
            </w:r>
          </w:p>
        </w:tc>
        <w:tc>
          <w:tcPr>
            <w:tcW w:w="1440" w:type="dxa"/>
            <w:tcBorders>
              <w:top w:val="nil"/>
              <w:left w:val="nil"/>
              <w:bottom w:val="single" w:sz="4" w:space="0" w:color="auto"/>
              <w:right w:val="single" w:sz="4" w:space="0" w:color="auto"/>
            </w:tcBorders>
            <w:shd w:val="clear" w:color="auto" w:fill="auto"/>
            <w:noWrap/>
            <w:vAlign w:val="bottom"/>
            <w:hideMark/>
          </w:tcPr>
          <w:p w14:paraId="34178E19" w14:textId="2F9B8B4A"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114,226.23 </w:t>
            </w:r>
          </w:p>
        </w:tc>
        <w:tc>
          <w:tcPr>
            <w:tcW w:w="1350" w:type="dxa"/>
            <w:tcBorders>
              <w:top w:val="nil"/>
              <w:left w:val="nil"/>
              <w:bottom w:val="single" w:sz="4" w:space="0" w:color="auto"/>
              <w:right w:val="single" w:sz="4" w:space="0" w:color="auto"/>
            </w:tcBorders>
            <w:shd w:val="clear" w:color="auto" w:fill="auto"/>
            <w:noWrap/>
            <w:vAlign w:val="bottom"/>
            <w:hideMark/>
          </w:tcPr>
          <w:p w14:paraId="06B3136D" w14:textId="7D3B67DA"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300.00 </w:t>
            </w:r>
          </w:p>
        </w:tc>
      </w:tr>
      <w:tr w:rsidR="007F7EEB" w:rsidRPr="00824BC0" w14:paraId="4B30F70B" w14:textId="77777777" w:rsidTr="007F7EEB">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694AD24C" w14:textId="6B0C0B75" w:rsidR="007F7EEB" w:rsidRPr="00824BC0" w:rsidRDefault="007F7EEB" w:rsidP="007F7EEB">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lastRenderedPageBreak/>
              <w:t xml:space="preserve">October </w:t>
            </w:r>
          </w:p>
        </w:tc>
        <w:tc>
          <w:tcPr>
            <w:tcW w:w="1530" w:type="dxa"/>
            <w:tcBorders>
              <w:top w:val="nil"/>
              <w:left w:val="nil"/>
              <w:bottom w:val="single" w:sz="4" w:space="0" w:color="auto"/>
              <w:right w:val="single" w:sz="4" w:space="0" w:color="auto"/>
            </w:tcBorders>
            <w:shd w:val="clear" w:color="auto" w:fill="auto"/>
            <w:noWrap/>
            <w:vAlign w:val="bottom"/>
            <w:hideMark/>
          </w:tcPr>
          <w:p w14:paraId="76728BCB" w14:textId="48206BAF"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300.00 </w:t>
            </w:r>
          </w:p>
        </w:tc>
        <w:tc>
          <w:tcPr>
            <w:tcW w:w="1440" w:type="dxa"/>
            <w:tcBorders>
              <w:top w:val="nil"/>
              <w:left w:val="nil"/>
              <w:bottom w:val="single" w:sz="4" w:space="0" w:color="auto"/>
              <w:right w:val="single" w:sz="4" w:space="0" w:color="auto"/>
            </w:tcBorders>
            <w:shd w:val="clear" w:color="auto" w:fill="auto"/>
            <w:noWrap/>
            <w:vAlign w:val="bottom"/>
            <w:hideMark/>
          </w:tcPr>
          <w:p w14:paraId="2369D0F3" w14:textId="1ECFECDF"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118,054.05 </w:t>
            </w:r>
          </w:p>
        </w:tc>
        <w:tc>
          <w:tcPr>
            <w:tcW w:w="1530" w:type="dxa"/>
            <w:tcBorders>
              <w:top w:val="nil"/>
              <w:left w:val="nil"/>
              <w:bottom w:val="single" w:sz="4" w:space="0" w:color="auto"/>
              <w:right w:val="single" w:sz="4" w:space="0" w:color="auto"/>
            </w:tcBorders>
            <w:shd w:val="clear" w:color="auto" w:fill="auto"/>
            <w:noWrap/>
            <w:vAlign w:val="bottom"/>
            <w:hideMark/>
          </w:tcPr>
          <w:p w14:paraId="2D81CAD4" w14:textId="77777777"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118,354.05 </w:t>
            </w:r>
          </w:p>
        </w:tc>
        <w:tc>
          <w:tcPr>
            <w:tcW w:w="1440" w:type="dxa"/>
            <w:tcBorders>
              <w:top w:val="nil"/>
              <w:left w:val="nil"/>
              <w:bottom w:val="single" w:sz="4" w:space="0" w:color="auto"/>
              <w:right w:val="single" w:sz="4" w:space="0" w:color="auto"/>
            </w:tcBorders>
            <w:shd w:val="clear" w:color="auto" w:fill="auto"/>
            <w:noWrap/>
            <w:vAlign w:val="bottom"/>
            <w:hideMark/>
          </w:tcPr>
          <w:p w14:paraId="674EE49B" w14:textId="29BEE7C0"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118,054.05 </w:t>
            </w:r>
          </w:p>
        </w:tc>
        <w:tc>
          <w:tcPr>
            <w:tcW w:w="1350" w:type="dxa"/>
            <w:tcBorders>
              <w:top w:val="nil"/>
              <w:left w:val="nil"/>
              <w:bottom w:val="single" w:sz="4" w:space="0" w:color="auto"/>
              <w:right w:val="single" w:sz="4" w:space="0" w:color="auto"/>
            </w:tcBorders>
            <w:shd w:val="clear" w:color="auto" w:fill="auto"/>
            <w:noWrap/>
            <w:vAlign w:val="bottom"/>
            <w:hideMark/>
          </w:tcPr>
          <w:p w14:paraId="58A4F3FC" w14:textId="1BCD8832"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300.00 </w:t>
            </w:r>
          </w:p>
        </w:tc>
      </w:tr>
      <w:tr w:rsidR="007F7EEB" w:rsidRPr="00824BC0" w14:paraId="2A2CA862" w14:textId="77777777" w:rsidTr="007F7EEB">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30823B70" w14:textId="36EE98AB" w:rsidR="007F7EEB" w:rsidRPr="00824BC0" w:rsidRDefault="007F7EEB" w:rsidP="007F7EEB">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November </w:t>
            </w:r>
          </w:p>
        </w:tc>
        <w:tc>
          <w:tcPr>
            <w:tcW w:w="1530" w:type="dxa"/>
            <w:tcBorders>
              <w:top w:val="nil"/>
              <w:left w:val="nil"/>
              <w:bottom w:val="single" w:sz="4" w:space="0" w:color="auto"/>
              <w:right w:val="single" w:sz="4" w:space="0" w:color="auto"/>
            </w:tcBorders>
            <w:shd w:val="clear" w:color="auto" w:fill="auto"/>
            <w:noWrap/>
            <w:vAlign w:val="bottom"/>
            <w:hideMark/>
          </w:tcPr>
          <w:p w14:paraId="0F2EF462" w14:textId="7A639BEE"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300.00 </w:t>
            </w:r>
          </w:p>
        </w:tc>
        <w:tc>
          <w:tcPr>
            <w:tcW w:w="1440" w:type="dxa"/>
            <w:tcBorders>
              <w:top w:val="nil"/>
              <w:left w:val="nil"/>
              <w:bottom w:val="single" w:sz="4" w:space="0" w:color="auto"/>
              <w:right w:val="single" w:sz="4" w:space="0" w:color="auto"/>
            </w:tcBorders>
            <w:shd w:val="clear" w:color="auto" w:fill="auto"/>
            <w:noWrap/>
            <w:vAlign w:val="bottom"/>
            <w:hideMark/>
          </w:tcPr>
          <w:p w14:paraId="17620C06" w14:textId="5A61E20F"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112,882.04 </w:t>
            </w:r>
          </w:p>
        </w:tc>
        <w:tc>
          <w:tcPr>
            <w:tcW w:w="1530" w:type="dxa"/>
            <w:tcBorders>
              <w:top w:val="nil"/>
              <w:left w:val="nil"/>
              <w:bottom w:val="single" w:sz="4" w:space="0" w:color="auto"/>
              <w:right w:val="single" w:sz="4" w:space="0" w:color="auto"/>
            </w:tcBorders>
            <w:shd w:val="clear" w:color="auto" w:fill="auto"/>
            <w:noWrap/>
            <w:vAlign w:val="bottom"/>
            <w:hideMark/>
          </w:tcPr>
          <w:p w14:paraId="27741367" w14:textId="77777777"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113,182.04 </w:t>
            </w:r>
          </w:p>
        </w:tc>
        <w:tc>
          <w:tcPr>
            <w:tcW w:w="1440" w:type="dxa"/>
            <w:tcBorders>
              <w:top w:val="nil"/>
              <w:left w:val="nil"/>
              <w:bottom w:val="single" w:sz="4" w:space="0" w:color="auto"/>
              <w:right w:val="single" w:sz="4" w:space="0" w:color="auto"/>
            </w:tcBorders>
            <w:shd w:val="clear" w:color="auto" w:fill="auto"/>
            <w:noWrap/>
            <w:vAlign w:val="bottom"/>
            <w:hideMark/>
          </w:tcPr>
          <w:p w14:paraId="2B192C5D" w14:textId="782A492A"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110,082.04 </w:t>
            </w:r>
          </w:p>
        </w:tc>
        <w:tc>
          <w:tcPr>
            <w:tcW w:w="1350" w:type="dxa"/>
            <w:tcBorders>
              <w:top w:val="nil"/>
              <w:left w:val="nil"/>
              <w:bottom w:val="single" w:sz="4" w:space="0" w:color="auto"/>
              <w:right w:val="single" w:sz="4" w:space="0" w:color="auto"/>
            </w:tcBorders>
            <w:shd w:val="clear" w:color="auto" w:fill="auto"/>
            <w:noWrap/>
            <w:vAlign w:val="bottom"/>
            <w:hideMark/>
          </w:tcPr>
          <w:p w14:paraId="7FC7AC5F" w14:textId="0945C9CC"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3,100.00 </w:t>
            </w:r>
          </w:p>
        </w:tc>
      </w:tr>
      <w:tr w:rsidR="007F7EEB" w:rsidRPr="00824BC0" w14:paraId="5A239C89" w14:textId="77777777" w:rsidTr="007F7EEB">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0E44726C" w14:textId="555B3C33" w:rsidR="007F7EEB" w:rsidRPr="00824BC0" w:rsidRDefault="007F7EEB" w:rsidP="007F7EEB">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December </w:t>
            </w:r>
          </w:p>
        </w:tc>
        <w:tc>
          <w:tcPr>
            <w:tcW w:w="1530" w:type="dxa"/>
            <w:tcBorders>
              <w:top w:val="nil"/>
              <w:left w:val="nil"/>
              <w:bottom w:val="single" w:sz="4" w:space="0" w:color="auto"/>
              <w:right w:val="single" w:sz="4" w:space="0" w:color="auto"/>
            </w:tcBorders>
            <w:shd w:val="clear" w:color="auto" w:fill="auto"/>
            <w:noWrap/>
            <w:vAlign w:val="bottom"/>
            <w:hideMark/>
          </w:tcPr>
          <w:p w14:paraId="72E66343" w14:textId="282146FF"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3,100.00 </w:t>
            </w:r>
          </w:p>
        </w:tc>
        <w:tc>
          <w:tcPr>
            <w:tcW w:w="1440" w:type="dxa"/>
            <w:tcBorders>
              <w:top w:val="nil"/>
              <w:left w:val="nil"/>
              <w:bottom w:val="single" w:sz="4" w:space="0" w:color="auto"/>
              <w:right w:val="single" w:sz="4" w:space="0" w:color="auto"/>
            </w:tcBorders>
            <w:shd w:val="clear" w:color="auto" w:fill="auto"/>
            <w:noWrap/>
            <w:vAlign w:val="bottom"/>
            <w:hideMark/>
          </w:tcPr>
          <w:p w14:paraId="0B7AECDE" w14:textId="1FAD6FA4"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111,841.95 </w:t>
            </w:r>
          </w:p>
        </w:tc>
        <w:tc>
          <w:tcPr>
            <w:tcW w:w="1530" w:type="dxa"/>
            <w:tcBorders>
              <w:top w:val="nil"/>
              <w:left w:val="nil"/>
              <w:bottom w:val="single" w:sz="4" w:space="0" w:color="auto"/>
              <w:right w:val="single" w:sz="4" w:space="0" w:color="auto"/>
            </w:tcBorders>
            <w:shd w:val="clear" w:color="auto" w:fill="auto"/>
            <w:noWrap/>
            <w:vAlign w:val="bottom"/>
            <w:hideMark/>
          </w:tcPr>
          <w:p w14:paraId="05DDA6F1" w14:textId="77777777"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114,941.95 </w:t>
            </w:r>
          </w:p>
        </w:tc>
        <w:tc>
          <w:tcPr>
            <w:tcW w:w="1440" w:type="dxa"/>
            <w:tcBorders>
              <w:top w:val="nil"/>
              <w:left w:val="nil"/>
              <w:bottom w:val="single" w:sz="4" w:space="0" w:color="auto"/>
              <w:right w:val="single" w:sz="4" w:space="0" w:color="auto"/>
            </w:tcBorders>
            <w:shd w:val="clear" w:color="auto" w:fill="auto"/>
            <w:noWrap/>
            <w:vAlign w:val="bottom"/>
            <w:hideMark/>
          </w:tcPr>
          <w:p w14:paraId="235A180F" w14:textId="5BA0B999"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114,941.95 </w:t>
            </w:r>
          </w:p>
        </w:tc>
        <w:tc>
          <w:tcPr>
            <w:tcW w:w="1350" w:type="dxa"/>
            <w:tcBorders>
              <w:top w:val="nil"/>
              <w:left w:val="nil"/>
              <w:bottom w:val="single" w:sz="4" w:space="0" w:color="auto"/>
              <w:right w:val="single" w:sz="4" w:space="0" w:color="auto"/>
            </w:tcBorders>
            <w:shd w:val="clear" w:color="auto" w:fill="auto"/>
            <w:noWrap/>
            <w:vAlign w:val="bottom"/>
            <w:hideMark/>
          </w:tcPr>
          <w:p w14:paraId="5259CD3E" w14:textId="361374A4"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r>
    </w:tbl>
    <w:p w14:paraId="2A059CD8" w14:textId="6EC659D1" w:rsidR="00FB76DF" w:rsidRPr="00824BC0" w:rsidRDefault="00FB76DF" w:rsidP="00024BF0">
      <w:pPr>
        <w:pStyle w:val="ListParagraph"/>
        <w:ind w:left="0"/>
        <w:contextualSpacing w:val="0"/>
        <w:jc w:val="both"/>
        <w:rPr>
          <w:bCs/>
          <w:iCs/>
          <w:szCs w:val="24"/>
        </w:rPr>
      </w:pPr>
    </w:p>
    <w:tbl>
      <w:tblPr>
        <w:tblW w:w="8635" w:type="dxa"/>
        <w:tblLook w:val="04A0" w:firstRow="1" w:lastRow="0" w:firstColumn="1" w:lastColumn="0" w:noHBand="0" w:noVBand="1"/>
      </w:tblPr>
      <w:tblGrid>
        <w:gridCol w:w="1340"/>
        <w:gridCol w:w="1535"/>
        <w:gridCol w:w="1440"/>
        <w:gridCol w:w="1530"/>
        <w:gridCol w:w="1440"/>
        <w:gridCol w:w="1350"/>
      </w:tblGrid>
      <w:tr w:rsidR="00FB76DF" w:rsidRPr="00824BC0" w14:paraId="5F29BAB4" w14:textId="77777777" w:rsidTr="009D7477">
        <w:trPr>
          <w:trHeight w:val="600"/>
          <w:tblHeader/>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4E0C1" w14:textId="423D0625" w:rsidR="00FB76DF" w:rsidRPr="00824BC0" w:rsidRDefault="00FB76DF" w:rsidP="00FB76DF">
            <w:pPr>
              <w:spacing w:after="0" w:line="240" w:lineRule="auto"/>
              <w:jc w:val="center"/>
              <w:rPr>
                <w:rFonts w:ascii="Times New Roman" w:eastAsia="Times New Roman" w:hAnsi="Times New Roman" w:cs="Times New Roman"/>
                <w:b/>
                <w:bCs/>
                <w:color w:val="000000"/>
                <w:sz w:val="24"/>
                <w:szCs w:val="24"/>
                <w:lang w:eastAsia="en-PH"/>
              </w:rPr>
            </w:pPr>
            <w:r w:rsidRPr="00824BC0">
              <w:rPr>
                <w:rFonts w:ascii="Times New Roman" w:eastAsia="Times New Roman" w:hAnsi="Times New Roman" w:cs="Times New Roman"/>
                <w:b/>
                <w:bCs/>
                <w:color w:val="000000"/>
                <w:sz w:val="24"/>
                <w:szCs w:val="24"/>
                <w:lang w:eastAsia="en-PH"/>
              </w:rPr>
              <w:t>General Fund 164</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14:paraId="22FEFFAB" w14:textId="77777777" w:rsidR="00FB76DF" w:rsidRPr="00824BC0" w:rsidRDefault="00FB76DF" w:rsidP="00FB76DF">
            <w:pPr>
              <w:spacing w:after="0" w:line="240" w:lineRule="auto"/>
              <w:jc w:val="center"/>
              <w:rPr>
                <w:rFonts w:ascii="Times New Roman" w:eastAsia="Times New Roman" w:hAnsi="Times New Roman" w:cs="Times New Roman"/>
                <w:b/>
                <w:bCs/>
                <w:color w:val="000000"/>
                <w:sz w:val="24"/>
                <w:szCs w:val="24"/>
                <w:lang w:eastAsia="en-PH"/>
              </w:rPr>
            </w:pPr>
            <w:r w:rsidRPr="00824BC0">
              <w:rPr>
                <w:rFonts w:ascii="Times New Roman" w:eastAsia="Times New Roman" w:hAnsi="Times New Roman" w:cs="Times New Roman"/>
                <w:b/>
                <w:bCs/>
                <w:color w:val="000000"/>
                <w:sz w:val="24"/>
                <w:szCs w:val="24"/>
                <w:lang w:eastAsia="en-PH"/>
              </w:rPr>
              <w:t xml:space="preserve"> Beginning Balance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BA2F566" w14:textId="77777777" w:rsidR="00FB76DF" w:rsidRPr="00824BC0" w:rsidRDefault="00FB76DF" w:rsidP="00FB76DF">
            <w:pPr>
              <w:spacing w:after="0" w:line="240" w:lineRule="auto"/>
              <w:jc w:val="center"/>
              <w:rPr>
                <w:rFonts w:ascii="Times New Roman" w:eastAsia="Times New Roman" w:hAnsi="Times New Roman" w:cs="Times New Roman"/>
                <w:b/>
                <w:bCs/>
                <w:color w:val="000000"/>
                <w:sz w:val="24"/>
                <w:szCs w:val="24"/>
                <w:lang w:eastAsia="en-PH"/>
              </w:rPr>
            </w:pPr>
            <w:r w:rsidRPr="00824BC0">
              <w:rPr>
                <w:rFonts w:ascii="Times New Roman" w:eastAsia="Times New Roman" w:hAnsi="Times New Roman" w:cs="Times New Roman"/>
                <w:b/>
                <w:bCs/>
                <w:color w:val="000000"/>
                <w:sz w:val="24"/>
                <w:szCs w:val="24"/>
                <w:lang w:eastAsia="en-PH"/>
              </w:rPr>
              <w:t xml:space="preserve"> Amount Withheld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5AD1F53" w14:textId="0AD23FA1" w:rsidR="00FB76DF" w:rsidRPr="00824BC0" w:rsidRDefault="00FB76DF" w:rsidP="00FB76DF">
            <w:pPr>
              <w:spacing w:after="0" w:line="240" w:lineRule="auto"/>
              <w:jc w:val="center"/>
              <w:rPr>
                <w:rFonts w:ascii="Times New Roman" w:eastAsia="Times New Roman" w:hAnsi="Times New Roman" w:cs="Times New Roman"/>
                <w:b/>
                <w:bCs/>
                <w:color w:val="000000"/>
                <w:sz w:val="24"/>
                <w:szCs w:val="24"/>
                <w:lang w:eastAsia="en-PH"/>
              </w:rPr>
            </w:pPr>
            <w:r w:rsidRPr="00824BC0">
              <w:rPr>
                <w:rFonts w:ascii="Times New Roman" w:eastAsia="Times New Roman" w:hAnsi="Times New Roman" w:cs="Times New Roman"/>
                <w:b/>
                <w:bCs/>
                <w:color w:val="000000"/>
                <w:sz w:val="24"/>
                <w:szCs w:val="24"/>
                <w:lang w:eastAsia="en-PH"/>
              </w:rPr>
              <w:t xml:space="preserve"> Total </w:t>
            </w:r>
            <w:r w:rsidR="00196742" w:rsidRPr="00824BC0">
              <w:rPr>
                <w:rFonts w:ascii="Times New Roman" w:eastAsia="Times New Roman" w:hAnsi="Times New Roman" w:cs="Times New Roman"/>
                <w:b/>
                <w:bCs/>
                <w:color w:val="000000"/>
                <w:sz w:val="24"/>
                <w:szCs w:val="24"/>
                <w:lang w:eastAsia="en-PH"/>
              </w:rPr>
              <w:t xml:space="preserve">For Remittance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D9781C0" w14:textId="77777777" w:rsidR="00FB76DF" w:rsidRPr="00824BC0" w:rsidRDefault="00FB76DF" w:rsidP="00FB76DF">
            <w:pPr>
              <w:spacing w:after="0" w:line="240" w:lineRule="auto"/>
              <w:jc w:val="center"/>
              <w:rPr>
                <w:rFonts w:ascii="Times New Roman" w:eastAsia="Times New Roman" w:hAnsi="Times New Roman" w:cs="Times New Roman"/>
                <w:b/>
                <w:bCs/>
                <w:color w:val="000000"/>
                <w:sz w:val="24"/>
                <w:szCs w:val="24"/>
                <w:lang w:eastAsia="en-PH"/>
              </w:rPr>
            </w:pPr>
            <w:r w:rsidRPr="00824BC0">
              <w:rPr>
                <w:rFonts w:ascii="Times New Roman" w:eastAsia="Times New Roman" w:hAnsi="Times New Roman" w:cs="Times New Roman"/>
                <w:b/>
                <w:bCs/>
                <w:color w:val="000000"/>
                <w:sz w:val="24"/>
                <w:szCs w:val="24"/>
                <w:lang w:eastAsia="en-PH"/>
              </w:rPr>
              <w:t xml:space="preserve"> Amount Remitted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38599158" w14:textId="77777777" w:rsidR="00FB76DF" w:rsidRPr="00824BC0" w:rsidRDefault="00FB76DF" w:rsidP="00FB76DF">
            <w:pPr>
              <w:spacing w:after="0" w:line="240" w:lineRule="auto"/>
              <w:jc w:val="center"/>
              <w:rPr>
                <w:rFonts w:ascii="Times New Roman" w:eastAsia="Times New Roman" w:hAnsi="Times New Roman" w:cs="Times New Roman"/>
                <w:b/>
                <w:bCs/>
                <w:color w:val="000000"/>
                <w:sz w:val="24"/>
                <w:szCs w:val="24"/>
                <w:lang w:eastAsia="en-PH"/>
              </w:rPr>
            </w:pPr>
            <w:r w:rsidRPr="00824BC0">
              <w:rPr>
                <w:rFonts w:ascii="Times New Roman" w:eastAsia="Times New Roman" w:hAnsi="Times New Roman" w:cs="Times New Roman"/>
                <w:b/>
                <w:bCs/>
                <w:color w:val="000000"/>
                <w:sz w:val="24"/>
                <w:szCs w:val="24"/>
                <w:lang w:eastAsia="en-PH"/>
              </w:rPr>
              <w:t xml:space="preserve"> Ending Balance </w:t>
            </w:r>
          </w:p>
        </w:tc>
      </w:tr>
      <w:tr w:rsidR="00FB76DF" w:rsidRPr="00824BC0" w14:paraId="55752D63" w14:textId="77777777" w:rsidTr="007F7EEB">
        <w:trPr>
          <w:trHeight w:val="30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5EEC6E25" w14:textId="77777777" w:rsidR="00FB76DF" w:rsidRPr="00824BC0" w:rsidRDefault="00FB76DF" w:rsidP="00FB76DF">
            <w:pPr>
              <w:spacing w:after="0" w:line="240" w:lineRule="auto"/>
              <w:jc w:val="center"/>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2021</w:t>
            </w:r>
          </w:p>
        </w:tc>
        <w:tc>
          <w:tcPr>
            <w:tcW w:w="1535" w:type="dxa"/>
            <w:tcBorders>
              <w:top w:val="nil"/>
              <w:left w:val="nil"/>
              <w:bottom w:val="single" w:sz="4" w:space="0" w:color="auto"/>
              <w:right w:val="single" w:sz="4" w:space="0" w:color="auto"/>
            </w:tcBorders>
            <w:shd w:val="clear" w:color="auto" w:fill="auto"/>
            <w:vAlign w:val="center"/>
            <w:hideMark/>
          </w:tcPr>
          <w:p w14:paraId="2F4A6AB8" w14:textId="77777777" w:rsidR="00FB76DF" w:rsidRPr="00824BC0" w:rsidRDefault="00FB76DF" w:rsidP="00FB76DF">
            <w:pPr>
              <w:spacing w:after="0" w:line="240" w:lineRule="auto"/>
              <w:jc w:val="center"/>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w:t>
            </w:r>
          </w:p>
        </w:tc>
        <w:tc>
          <w:tcPr>
            <w:tcW w:w="1440" w:type="dxa"/>
            <w:tcBorders>
              <w:top w:val="nil"/>
              <w:left w:val="nil"/>
              <w:bottom w:val="single" w:sz="4" w:space="0" w:color="auto"/>
              <w:right w:val="single" w:sz="4" w:space="0" w:color="auto"/>
            </w:tcBorders>
            <w:shd w:val="clear" w:color="auto" w:fill="auto"/>
            <w:vAlign w:val="center"/>
            <w:hideMark/>
          </w:tcPr>
          <w:p w14:paraId="54ECD030" w14:textId="77777777" w:rsidR="00FB76DF" w:rsidRPr="00824BC0" w:rsidRDefault="00FB76DF" w:rsidP="00FB76DF">
            <w:pPr>
              <w:spacing w:after="0" w:line="240" w:lineRule="auto"/>
              <w:jc w:val="center"/>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w:t>
            </w:r>
          </w:p>
        </w:tc>
        <w:tc>
          <w:tcPr>
            <w:tcW w:w="1530" w:type="dxa"/>
            <w:tcBorders>
              <w:top w:val="nil"/>
              <w:left w:val="nil"/>
              <w:bottom w:val="single" w:sz="4" w:space="0" w:color="auto"/>
              <w:right w:val="single" w:sz="4" w:space="0" w:color="auto"/>
            </w:tcBorders>
            <w:shd w:val="clear" w:color="auto" w:fill="auto"/>
            <w:vAlign w:val="center"/>
            <w:hideMark/>
          </w:tcPr>
          <w:p w14:paraId="1BFB95E2" w14:textId="77777777" w:rsidR="00FB76DF" w:rsidRPr="00824BC0" w:rsidRDefault="00FB76DF" w:rsidP="00FB76DF">
            <w:pPr>
              <w:spacing w:after="0" w:line="240" w:lineRule="auto"/>
              <w:jc w:val="center"/>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w:t>
            </w:r>
          </w:p>
        </w:tc>
        <w:tc>
          <w:tcPr>
            <w:tcW w:w="1440" w:type="dxa"/>
            <w:tcBorders>
              <w:top w:val="nil"/>
              <w:left w:val="nil"/>
              <w:bottom w:val="single" w:sz="4" w:space="0" w:color="auto"/>
              <w:right w:val="single" w:sz="4" w:space="0" w:color="auto"/>
            </w:tcBorders>
            <w:shd w:val="clear" w:color="auto" w:fill="auto"/>
            <w:vAlign w:val="center"/>
            <w:hideMark/>
          </w:tcPr>
          <w:p w14:paraId="1DB1CDC7" w14:textId="77777777" w:rsidR="00FB76DF" w:rsidRPr="00824BC0" w:rsidRDefault="00FB76DF" w:rsidP="00FB76DF">
            <w:pPr>
              <w:spacing w:after="0" w:line="240" w:lineRule="auto"/>
              <w:jc w:val="center"/>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w:t>
            </w:r>
          </w:p>
        </w:tc>
        <w:tc>
          <w:tcPr>
            <w:tcW w:w="1350" w:type="dxa"/>
            <w:tcBorders>
              <w:top w:val="nil"/>
              <w:left w:val="nil"/>
              <w:bottom w:val="single" w:sz="4" w:space="0" w:color="auto"/>
              <w:right w:val="single" w:sz="4" w:space="0" w:color="auto"/>
            </w:tcBorders>
            <w:shd w:val="clear" w:color="auto" w:fill="auto"/>
            <w:vAlign w:val="center"/>
            <w:hideMark/>
          </w:tcPr>
          <w:p w14:paraId="49301A7E" w14:textId="77777777" w:rsidR="00FB76DF" w:rsidRPr="00824BC0" w:rsidRDefault="00FB76DF" w:rsidP="00FB76DF">
            <w:pPr>
              <w:spacing w:after="0" w:line="240" w:lineRule="auto"/>
              <w:jc w:val="center"/>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w:t>
            </w:r>
          </w:p>
        </w:tc>
      </w:tr>
      <w:tr w:rsidR="007F7EEB" w:rsidRPr="00824BC0" w14:paraId="17F15785" w14:textId="77777777" w:rsidTr="00C23CF8">
        <w:trPr>
          <w:trHeight w:val="278"/>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B5B1219" w14:textId="69BCD5F5" w:rsidR="007F7EEB" w:rsidRPr="00824BC0" w:rsidRDefault="007F7EEB" w:rsidP="00C23CF8">
            <w:pPr>
              <w:pStyle w:val="Heading1"/>
              <w:spacing w:before="0"/>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January </w:t>
            </w:r>
          </w:p>
        </w:tc>
        <w:tc>
          <w:tcPr>
            <w:tcW w:w="1535" w:type="dxa"/>
            <w:tcBorders>
              <w:top w:val="nil"/>
              <w:left w:val="nil"/>
              <w:bottom w:val="single" w:sz="4" w:space="0" w:color="auto"/>
              <w:right w:val="single" w:sz="4" w:space="0" w:color="auto"/>
            </w:tcBorders>
            <w:shd w:val="clear" w:color="auto" w:fill="auto"/>
            <w:noWrap/>
            <w:vAlign w:val="bottom"/>
            <w:hideMark/>
          </w:tcPr>
          <w:p w14:paraId="3FD20879" w14:textId="4377EEAD" w:rsidR="007F7EEB" w:rsidRPr="00824BC0" w:rsidRDefault="007F7EEB" w:rsidP="00C23CF8">
            <w:pPr>
              <w:pStyle w:val="Heading1"/>
              <w:spacing w:before="0"/>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0.00</w:t>
            </w:r>
          </w:p>
        </w:tc>
        <w:tc>
          <w:tcPr>
            <w:tcW w:w="1440" w:type="dxa"/>
            <w:tcBorders>
              <w:top w:val="nil"/>
              <w:left w:val="nil"/>
              <w:bottom w:val="single" w:sz="4" w:space="0" w:color="auto"/>
              <w:right w:val="single" w:sz="4" w:space="0" w:color="auto"/>
            </w:tcBorders>
            <w:shd w:val="clear" w:color="auto" w:fill="auto"/>
            <w:noWrap/>
            <w:vAlign w:val="bottom"/>
            <w:hideMark/>
          </w:tcPr>
          <w:p w14:paraId="779BD70E" w14:textId="0C681AA5" w:rsidR="007F7EEB" w:rsidRPr="00824BC0" w:rsidRDefault="007F7EEB" w:rsidP="00C23CF8">
            <w:pPr>
              <w:pStyle w:val="Heading1"/>
              <w:spacing w:before="0"/>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1,200.00 </w:t>
            </w:r>
          </w:p>
        </w:tc>
        <w:tc>
          <w:tcPr>
            <w:tcW w:w="1530" w:type="dxa"/>
            <w:tcBorders>
              <w:top w:val="nil"/>
              <w:left w:val="nil"/>
              <w:bottom w:val="single" w:sz="4" w:space="0" w:color="auto"/>
              <w:right w:val="single" w:sz="4" w:space="0" w:color="auto"/>
            </w:tcBorders>
            <w:shd w:val="clear" w:color="auto" w:fill="auto"/>
            <w:noWrap/>
            <w:vAlign w:val="bottom"/>
            <w:hideMark/>
          </w:tcPr>
          <w:p w14:paraId="309630C5" w14:textId="192D11EF" w:rsidR="007F7EEB" w:rsidRPr="00824BC0" w:rsidRDefault="007F7EEB" w:rsidP="00C23CF8">
            <w:pPr>
              <w:pStyle w:val="Heading1"/>
              <w:spacing w:before="0"/>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1,200.00 </w:t>
            </w:r>
          </w:p>
        </w:tc>
        <w:tc>
          <w:tcPr>
            <w:tcW w:w="1440" w:type="dxa"/>
            <w:tcBorders>
              <w:top w:val="nil"/>
              <w:left w:val="nil"/>
              <w:bottom w:val="single" w:sz="4" w:space="0" w:color="auto"/>
              <w:right w:val="single" w:sz="4" w:space="0" w:color="auto"/>
            </w:tcBorders>
            <w:shd w:val="clear" w:color="auto" w:fill="auto"/>
            <w:noWrap/>
            <w:vAlign w:val="bottom"/>
            <w:hideMark/>
          </w:tcPr>
          <w:p w14:paraId="0CD9B2A3" w14:textId="61D5E927" w:rsidR="007F7EEB" w:rsidRPr="00824BC0" w:rsidRDefault="007F7EEB" w:rsidP="00C23CF8">
            <w:pPr>
              <w:pStyle w:val="Heading1"/>
              <w:spacing w:before="0"/>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1,200.00 </w:t>
            </w:r>
          </w:p>
        </w:tc>
        <w:tc>
          <w:tcPr>
            <w:tcW w:w="1350" w:type="dxa"/>
            <w:tcBorders>
              <w:top w:val="nil"/>
              <w:left w:val="nil"/>
              <w:bottom w:val="single" w:sz="4" w:space="0" w:color="auto"/>
              <w:right w:val="single" w:sz="4" w:space="0" w:color="auto"/>
            </w:tcBorders>
            <w:shd w:val="clear" w:color="auto" w:fill="auto"/>
            <w:noWrap/>
            <w:vAlign w:val="bottom"/>
            <w:hideMark/>
          </w:tcPr>
          <w:p w14:paraId="16A6CC1E" w14:textId="3A109351" w:rsidR="007F7EEB" w:rsidRPr="00824BC0" w:rsidRDefault="007F7EEB" w:rsidP="00C23CF8">
            <w:pPr>
              <w:pStyle w:val="Heading1"/>
              <w:spacing w:before="0"/>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0.00</w:t>
            </w:r>
          </w:p>
        </w:tc>
      </w:tr>
      <w:tr w:rsidR="007F7EEB" w:rsidRPr="00824BC0" w14:paraId="0BAA0DCB" w14:textId="77777777" w:rsidTr="007F7EEB">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0B73AC5" w14:textId="28F067B7" w:rsidR="007F7EEB" w:rsidRPr="00824BC0" w:rsidRDefault="007F7EEB" w:rsidP="007F7EEB">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February </w:t>
            </w:r>
          </w:p>
        </w:tc>
        <w:tc>
          <w:tcPr>
            <w:tcW w:w="1535" w:type="dxa"/>
            <w:tcBorders>
              <w:top w:val="nil"/>
              <w:left w:val="nil"/>
              <w:bottom w:val="single" w:sz="4" w:space="0" w:color="auto"/>
              <w:right w:val="single" w:sz="4" w:space="0" w:color="auto"/>
            </w:tcBorders>
            <w:shd w:val="clear" w:color="auto" w:fill="auto"/>
            <w:noWrap/>
            <w:vAlign w:val="bottom"/>
            <w:hideMark/>
          </w:tcPr>
          <w:p w14:paraId="30566CE9" w14:textId="3A22BDA8"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7E9CFC36" w14:textId="3CB30B8D"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2,600.00 </w:t>
            </w:r>
          </w:p>
        </w:tc>
        <w:tc>
          <w:tcPr>
            <w:tcW w:w="1530" w:type="dxa"/>
            <w:tcBorders>
              <w:top w:val="nil"/>
              <w:left w:val="nil"/>
              <w:bottom w:val="single" w:sz="4" w:space="0" w:color="auto"/>
              <w:right w:val="single" w:sz="4" w:space="0" w:color="auto"/>
            </w:tcBorders>
            <w:shd w:val="clear" w:color="auto" w:fill="auto"/>
            <w:noWrap/>
            <w:vAlign w:val="bottom"/>
            <w:hideMark/>
          </w:tcPr>
          <w:p w14:paraId="67848E17" w14:textId="3BCEEFB9"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2,600.00 </w:t>
            </w:r>
          </w:p>
        </w:tc>
        <w:tc>
          <w:tcPr>
            <w:tcW w:w="1440" w:type="dxa"/>
            <w:tcBorders>
              <w:top w:val="nil"/>
              <w:left w:val="nil"/>
              <w:bottom w:val="single" w:sz="4" w:space="0" w:color="auto"/>
              <w:right w:val="single" w:sz="4" w:space="0" w:color="auto"/>
            </w:tcBorders>
            <w:shd w:val="clear" w:color="auto" w:fill="auto"/>
            <w:noWrap/>
            <w:vAlign w:val="bottom"/>
            <w:hideMark/>
          </w:tcPr>
          <w:p w14:paraId="634BE68A" w14:textId="0CCF5B56"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2,600.00 </w:t>
            </w:r>
          </w:p>
        </w:tc>
        <w:tc>
          <w:tcPr>
            <w:tcW w:w="1350" w:type="dxa"/>
            <w:tcBorders>
              <w:top w:val="nil"/>
              <w:left w:val="nil"/>
              <w:bottom w:val="single" w:sz="4" w:space="0" w:color="auto"/>
              <w:right w:val="single" w:sz="4" w:space="0" w:color="auto"/>
            </w:tcBorders>
            <w:shd w:val="clear" w:color="auto" w:fill="auto"/>
            <w:noWrap/>
            <w:vAlign w:val="bottom"/>
            <w:hideMark/>
          </w:tcPr>
          <w:p w14:paraId="71D82255" w14:textId="42A26955"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r>
      <w:tr w:rsidR="007F7EEB" w:rsidRPr="00824BC0" w14:paraId="53008AD1" w14:textId="77777777" w:rsidTr="007F7EEB">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5DFE26A" w14:textId="6BAFA889" w:rsidR="007F7EEB" w:rsidRPr="00824BC0" w:rsidRDefault="007F7EEB" w:rsidP="007F7EEB">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March </w:t>
            </w:r>
          </w:p>
        </w:tc>
        <w:tc>
          <w:tcPr>
            <w:tcW w:w="1535" w:type="dxa"/>
            <w:tcBorders>
              <w:top w:val="nil"/>
              <w:left w:val="nil"/>
              <w:bottom w:val="single" w:sz="4" w:space="0" w:color="auto"/>
              <w:right w:val="single" w:sz="4" w:space="0" w:color="auto"/>
            </w:tcBorders>
            <w:shd w:val="clear" w:color="auto" w:fill="auto"/>
            <w:noWrap/>
            <w:vAlign w:val="bottom"/>
            <w:hideMark/>
          </w:tcPr>
          <w:p w14:paraId="48FDC2CA" w14:textId="19C34B95"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4A26A7C2" w14:textId="74376001"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2,600.00 </w:t>
            </w:r>
          </w:p>
        </w:tc>
        <w:tc>
          <w:tcPr>
            <w:tcW w:w="1530" w:type="dxa"/>
            <w:tcBorders>
              <w:top w:val="nil"/>
              <w:left w:val="nil"/>
              <w:bottom w:val="single" w:sz="4" w:space="0" w:color="auto"/>
              <w:right w:val="single" w:sz="4" w:space="0" w:color="auto"/>
            </w:tcBorders>
            <w:shd w:val="clear" w:color="auto" w:fill="auto"/>
            <w:noWrap/>
            <w:vAlign w:val="bottom"/>
            <w:hideMark/>
          </w:tcPr>
          <w:p w14:paraId="47FE984A" w14:textId="77777777"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2,600.00 </w:t>
            </w:r>
          </w:p>
        </w:tc>
        <w:tc>
          <w:tcPr>
            <w:tcW w:w="1440" w:type="dxa"/>
            <w:tcBorders>
              <w:top w:val="nil"/>
              <w:left w:val="nil"/>
              <w:bottom w:val="single" w:sz="4" w:space="0" w:color="auto"/>
              <w:right w:val="single" w:sz="4" w:space="0" w:color="auto"/>
            </w:tcBorders>
            <w:shd w:val="clear" w:color="auto" w:fill="auto"/>
            <w:noWrap/>
            <w:vAlign w:val="bottom"/>
            <w:hideMark/>
          </w:tcPr>
          <w:p w14:paraId="0D252E6B" w14:textId="0B6AEE24"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2,600.00 </w:t>
            </w:r>
          </w:p>
        </w:tc>
        <w:tc>
          <w:tcPr>
            <w:tcW w:w="1350" w:type="dxa"/>
            <w:tcBorders>
              <w:top w:val="nil"/>
              <w:left w:val="nil"/>
              <w:bottom w:val="single" w:sz="4" w:space="0" w:color="auto"/>
              <w:right w:val="single" w:sz="4" w:space="0" w:color="auto"/>
            </w:tcBorders>
            <w:shd w:val="clear" w:color="auto" w:fill="auto"/>
            <w:noWrap/>
            <w:vAlign w:val="bottom"/>
            <w:hideMark/>
          </w:tcPr>
          <w:p w14:paraId="6672890C" w14:textId="3FEB0CF6"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r>
      <w:tr w:rsidR="007F7EEB" w:rsidRPr="00824BC0" w14:paraId="38AB2D08" w14:textId="77777777" w:rsidTr="007F7EEB">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6DA5E9F" w14:textId="375D0186" w:rsidR="007F7EEB" w:rsidRPr="00824BC0" w:rsidRDefault="007F7EEB" w:rsidP="007F7EEB">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April </w:t>
            </w:r>
          </w:p>
        </w:tc>
        <w:tc>
          <w:tcPr>
            <w:tcW w:w="1535" w:type="dxa"/>
            <w:tcBorders>
              <w:top w:val="nil"/>
              <w:left w:val="nil"/>
              <w:bottom w:val="single" w:sz="4" w:space="0" w:color="auto"/>
              <w:right w:val="single" w:sz="4" w:space="0" w:color="auto"/>
            </w:tcBorders>
            <w:shd w:val="clear" w:color="auto" w:fill="auto"/>
            <w:noWrap/>
            <w:vAlign w:val="bottom"/>
            <w:hideMark/>
          </w:tcPr>
          <w:p w14:paraId="126CECC8" w14:textId="72ECD3F7"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77C46129" w14:textId="028CB1E8"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5,200.00 </w:t>
            </w:r>
          </w:p>
        </w:tc>
        <w:tc>
          <w:tcPr>
            <w:tcW w:w="1530" w:type="dxa"/>
            <w:tcBorders>
              <w:top w:val="nil"/>
              <w:left w:val="nil"/>
              <w:bottom w:val="single" w:sz="4" w:space="0" w:color="auto"/>
              <w:right w:val="single" w:sz="4" w:space="0" w:color="auto"/>
            </w:tcBorders>
            <w:shd w:val="clear" w:color="auto" w:fill="auto"/>
            <w:noWrap/>
            <w:vAlign w:val="bottom"/>
            <w:hideMark/>
          </w:tcPr>
          <w:p w14:paraId="43D05E0D" w14:textId="77777777"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5,200.00 </w:t>
            </w:r>
          </w:p>
        </w:tc>
        <w:tc>
          <w:tcPr>
            <w:tcW w:w="1440" w:type="dxa"/>
            <w:tcBorders>
              <w:top w:val="nil"/>
              <w:left w:val="nil"/>
              <w:bottom w:val="single" w:sz="4" w:space="0" w:color="auto"/>
              <w:right w:val="single" w:sz="4" w:space="0" w:color="auto"/>
            </w:tcBorders>
            <w:shd w:val="clear" w:color="auto" w:fill="auto"/>
            <w:noWrap/>
            <w:vAlign w:val="bottom"/>
            <w:hideMark/>
          </w:tcPr>
          <w:p w14:paraId="2BB4F1D0" w14:textId="23AAE65A"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350" w:type="dxa"/>
            <w:tcBorders>
              <w:top w:val="nil"/>
              <w:left w:val="nil"/>
              <w:bottom w:val="single" w:sz="4" w:space="0" w:color="auto"/>
              <w:right w:val="single" w:sz="4" w:space="0" w:color="auto"/>
            </w:tcBorders>
            <w:shd w:val="clear" w:color="auto" w:fill="auto"/>
            <w:noWrap/>
            <w:vAlign w:val="bottom"/>
            <w:hideMark/>
          </w:tcPr>
          <w:p w14:paraId="57AD9147" w14:textId="6E53CBF5"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5,200.00 </w:t>
            </w:r>
          </w:p>
        </w:tc>
      </w:tr>
      <w:tr w:rsidR="007F7EEB" w:rsidRPr="00824BC0" w14:paraId="771E07F9" w14:textId="77777777" w:rsidTr="007F7EEB">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9EB5663" w14:textId="1FC457DD" w:rsidR="007F7EEB" w:rsidRPr="00824BC0" w:rsidRDefault="007F7EEB" w:rsidP="007F7EEB">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May </w:t>
            </w:r>
          </w:p>
        </w:tc>
        <w:tc>
          <w:tcPr>
            <w:tcW w:w="1535" w:type="dxa"/>
            <w:tcBorders>
              <w:top w:val="nil"/>
              <w:left w:val="nil"/>
              <w:bottom w:val="single" w:sz="4" w:space="0" w:color="auto"/>
              <w:right w:val="single" w:sz="4" w:space="0" w:color="auto"/>
            </w:tcBorders>
            <w:shd w:val="clear" w:color="auto" w:fill="auto"/>
            <w:noWrap/>
            <w:vAlign w:val="bottom"/>
            <w:hideMark/>
          </w:tcPr>
          <w:p w14:paraId="745DDC91" w14:textId="4A6B7574"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5,200.00 </w:t>
            </w:r>
          </w:p>
        </w:tc>
        <w:tc>
          <w:tcPr>
            <w:tcW w:w="1440" w:type="dxa"/>
            <w:tcBorders>
              <w:top w:val="nil"/>
              <w:left w:val="nil"/>
              <w:bottom w:val="single" w:sz="4" w:space="0" w:color="auto"/>
              <w:right w:val="single" w:sz="4" w:space="0" w:color="auto"/>
            </w:tcBorders>
            <w:shd w:val="clear" w:color="auto" w:fill="auto"/>
            <w:noWrap/>
            <w:vAlign w:val="bottom"/>
            <w:hideMark/>
          </w:tcPr>
          <w:p w14:paraId="4FE3A741" w14:textId="1785B783"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3,000.00 </w:t>
            </w:r>
          </w:p>
        </w:tc>
        <w:tc>
          <w:tcPr>
            <w:tcW w:w="1530" w:type="dxa"/>
            <w:tcBorders>
              <w:top w:val="nil"/>
              <w:left w:val="nil"/>
              <w:bottom w:val="single" w:sz="4" w:space="0" w:color="auto"/>
              <w:right w:val="single" w:sz="4" w:space="0" w:color="auto"/>
            </w:tcBorders>
            <w:shd w:val="clear" w:color="auto" w:fill="auto"/>
            <w:noWrap/>
            <w:vAlign w:val="bottom"/>
            <w:hideMark/>
          </w:tcPr>
          <w:p w14:paraId="6B9436C3" w14:textId="77777777"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8,200.00 </w:t>
            </w:r>
          </w:p>
        </w:tc>
        <w:tc>
          <w:tcPr>
            <w:tcW w:w="1440" w:type="dxa"/>
            <w:tcBorders>
              <w:top w:val="nil"/>
              <w:left w:val="nil"/>
              <w:bottom w:val="single" w:sz="4" w:space="0" w:color="auto"/>
              <w:right w:val="single" w:sz="4" w:space="0" w:color="auto"/>
            </w:tcBorders>
            <w:shd w:val="clear" w:color="auto" w:fill="auto"/>
            <w:noWrap/>
            <w:vAlign w:val="bottom"/>
            <w:hideMark/>
          </w:tcPr>
          <w:p w14:paraId="3005C1FD" w14:textId="7FDDE44B"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5,600.00 </w:t>
            </w:r>
          </w:p>
        </w:tc>
        <w:tc>
          <w:tcPr>
            <w:tcW w:w="1350" w:type="dxa"/>
            <w:tcBorders>
              <w:top w:val="nil"/>
              <w:left w:val="nil"/>
              <w:bottom w:val="single" w:sz="4" w:space="0" w:color="auto"/>
              <w:right w:val="single" w:sz="4" w:space="0" w:color="auto"/>
            </w:tcBorders>
            <w:shd w:val="clear" w:color="auto" w:fill="auto"/>
            <w:noWrap/>
            <w:vAlign w:val="bottom"/>
            <w:hideMark/>
          </w:tcPr>
          <w:p w14:paraId="67EFD728" w14:textId="7E8C0AED"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2,600.00 </w:t>
            </w:r>
          </w:p>
        </w:tc>
      </w:tr>
      <w:tr w:rsidR="007F7EEB" w:rsidRPr="00824BC0" w14:paraId="2E4239C7" w14:textId="77777777" w:rsidTr="007F7EEB">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624D19E" w14:textId="5D8C25B3" w:rsidR="007F7EEB" w:rsidRPr="00824BC0" w:rsidRDefault="007F7EEB" w:rsidP="007F7EEB">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June </w:t>
            </w:r>
          </w:p>
        </w:tc>
        <w:tc>
          <w:tcPr>
            <w:tcW w:w="1535" w:type="dxa"/>
            <w:tcBorders>
              <w:top w:val="nil"/>
              <w:left w:val="nil"/>
              <w:bottom w:val="single" w:sz="4" w:space="0" w:color="auto"/>
              <w:right w:val="single" w:sz="4" w:space="0" w:color="auto"/>
            </w:tcBorders>
            <w:shd w:val="clear" w:color="auto" w:fill="auto"/>
            <w:noWrap/>
            <w:vAlign w:val="bottom"/>
            <w:hideMark/>
          </w:tcPr>
          <w:p w14:paraId="5D8A8578" w14:textId="648F2AC1"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2,600.00 </w:t>
            </w:r>
          </w:p>
        </w:tc>
        <w:tc>
          <w:tcPr>
            <w:tcW w:w="1440" w:type="dxa"/>
            <w:tcBorders>
              <w:top w:val="nil"/>
              <w:left w:val="nil"/>
              <w:bottom w:val="single" w:sz="4" w:space="0" w:color="auto"/>
              <w:right w:val="single" w:sz="4" w:space="0" w:color="auto"/>
            </w:tcBorders>
            <w:shd w:val="clear" w:color="auto" w:fill="auto"/>
            <w:noWrap/>
            <w:vAlign w:val="bottom"/>
            <w:hideMark/>
          </w:tcPr>
          <w:p w14:paraId="262F3C17" w14:textId="63680913"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3,000.00 </w:t>
            </w:r>
          </w:p>
        </w:tc>
        <w:tc>
          <w:tcPr>
            <w:tcW w:w="1530" w:type="dxa"/>
            <w:tcBorders>
              <w:top w:val="nil"/>
              <w:left w:val="nil"/>
              <w:bottom w:val="single" w:sz="4" w:space="0" w:color="auto"/>
              <w:right w:val="single" w:sz="4" w:space="0" w:color="auto"/>
            </w:tcBorders>
            <w:shd w:val="clear" w:color="auto" w:fill="auto"/>
            <w:noWrap/>
            <w:vAlign w:val="bottom"/>
            <w:hideMark/>
          </w:tcPr>
          <w:p w14:paraId="7D20FC9E" w14:textId="77777777"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5,600.00 </w:t>
            </w:r>
          </w:p>
        </w:tc>
        <w:tc>
          <w:tcPr>
            <w:tcW w:w="1440" w:type="dxa"/>
            <w:tcBorders>
              <w:top w:val="nil"/>
              <w:left w:val="nil"/>
              <w:bottom w:val="single" w:sz="4" w:space="0" w:color="auto"/>
              <w:right w:val="single" w:sz="4" w:space="0" w:color="auto"/>
            </w:tcBorders>
            <w:shd w:val="clear" w:color="auto" w:fill="auto"/>
            <w:noWrap/>
            <w:vAlign w:val="bottom"/>
            <w:hideMark/>
          </w:tcPr>
          <w:p w14:paraId="7588376D" w14:textId="29310B60"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5,600.00 </w:t>
            </w:r>
          </w:p>
        </w:tc>
        <w:tc>
          <w:tcPr>
            <w:tcW w:w="1350" w:type="dxa"/>
            <w:tcBorders>
              <w:top w:val="nil"/>
              <w:left w:val="nil"/>
              <w:bottom w:val="single" w:sz="4" w:space="0" w:color="auto"/>
              <w:right w:val="single" w:sz="4" w:space="0" w:color="auto"/>
            </w:tcBorders>
            <w:shd w:val="clear" w:color="auto" w:fill="auto"/>
            <w:noWrap/>
            <w:vAlign w:val="bottom"/>
            <w:hideMark/>
          </w:tcPr>
          <w:p w14:paraId="05C33E85" w14:textId="0FD84245" w:rsidR="007F7EEB" w:rsidRPr="00824BC0" w:rsidRDefault="007F7EEB" w:rsidP="007F7EEB">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r>
      <w:tr w:rsidR="00C23CF8" w:rsidRPr="00824BC0" w14:paraId="56D7339A" w14:textId="77777777" w:rsidTr="007F7EEB">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DAF4961" w14:textId="76731BD8" w:rsidR="00C23CF8" w:rsidRPr="00824BC0" w:rsidRDefault="00C23CF8" w:rsidP="00C23CF8">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July </w:t>
            </w:r>
          </w:p>
        </w:tc>
        <w:tc>
          <w:tcPr>
            <w:tcW w:w="1535" w:type="dxa"/>
            <w:tcBorders>
              <w:top w:val="nil"/>
              <w:left w:val="nil"/>
              <w:bottom w:val="single" w:sz="4" w:space="0" w:color="auto"/>
              <w:right w:val="single" w:sz="4" w:space="0" w:color="auto"/>
            </w:tcBorders>
            <w:shd w:val="clear" w:color="auto" w:fill="auto"/>
            <w:noWrap/>
            <w:vAlign w:val="bottom"/>
            <w:hideMark/>
          </w:tcPr>
          <w:p w14:paraId="089EF006" w14:textId="5DCCB160" w:rsidR="00C23CF8" w:rsidRPr="00824BC0" w:rsidRDefault="00C23CF8" w:rsidP="00C23CF8">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546ACB3A" w14:textId="10BD878B" w:rsidR="00C23CF8" w:rsidRPr="00824BC0" w:rsidRDefault="00C23CF8" w:rsidP="00C23CF8">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2,600.00 </w:t>
            </w:r>
          </w:p>
        </w:tc>
        <w:tc>
          <w:tcPr>
            <w:tcW w:w="1530" w:type="dxa"/>
            <w:tcBorders>
              <w:top w:val="nil"/>
              <w:left w:val="nil"/>
              <w:bottom w:val="single" w:sz="4" w:space="0" w:color="auto"/>
              <w:right w:val="single" w:sz="4" w:space="0" w:color="auto"/>
            </w:tcBorders>
            <w:shd w:val="clear" w:color="auto" w:fill="auto"/>
            <w:noWrap/>
            <w:vAlign w:val="bottom"/>
            <w:hideMark/>
          </w:tcPr>
          <w:p w14:paraId="200360FD" w14:textId="3D422F94" w:rsidR="00C23CF8" w:rsidRPr="00824BC0" w:rsidRDefault="00C23CF8" w:rsidP="00C23CF8">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2,600.00 </w:t>
            </w:r>
          </w:p>
        </w:tc>
        <w:tc>
          <w:tcPr>
            <w:tcW w:w="1440" w:type="dxa"/>
            <w:tcBorders>
              <w:top w:val="nil"/>
              <w:left w:val="nil"/>
              <w:bottom w:val="single" w:sz="4" w:space="0" w:color="auto"/>
              <w:right w:val="single" w:sz="4" w:space="0" w:color="auto"/>
            </w:tcBorders>
            <w:shd w:val="clear" w:color="auto" w:fill="auto"/>
            <w:noWrap/>
            <w:vAlign w:val="bottom"/>
            <w:hideMark/>
          </w:tcPr>
          <w:p w14:paraId="3CAC997C" w14:textId="2F282086" w:rsidR="00C23CF8" w:rsidRPr="00824BC0" w:rsidRDefault="00C23CF8" w:rsidP="00C23CF8">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2,600.00 </w:t>
            </w:r>
          </w:p>
        </w:tc>
        <w:tc>
          <w:tcPr>
            <w:tcW w:w="1350" w:type="dxa"/>
            <w:tcBorders>
              <w:top w:val="nil"/>
              <w:left w:val="nil"/>
              <w:bottom w:val="single" w:sz="4" w:space="0" w:color="auto"/>
              <w:right w:val="single" w:sz="4" w:space="0" w:color="auto"/>
            </w:tcBorders>
            <w:shd w:val="clear" w:color="auto" w:fill="auto"/>
            <w:noWrap/>
            <w:vAlign w:val="bottom"/>
            <w:hideMark/>
          </w:tcPr>
          <w:p w14:paraId="44890024" w14:textId="2E49DDA9" w:rsidR="00C23CF8" w:rsidRPr="00824BC0" w:rsidRDefault="00C23CF8" w:rsidP="00C23CF8">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r>
      <w:tr w:rsidR="00C23CF8" w:rsidRPr="00824BC0" w14:paraId="3B902C7F" w14:textId="77777777" w:rsidTr="007F7EEB">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8E38293" w14:textId="62C96DEA" w:rsidR="00C23CF8" w:rsidRPr="00824BC0" w:rsidRDefault="00C23CF8" w:rsidP="00C23CF8">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August </w:t>
            </w:r>
          </w:p>
        </w:tc>
        <w:tc>
          <w:tcPr>
            <w:tcW w:w="1535" w:type="dxa"/>
            <w:tcBorders>
              <w:top w:val="nil"/>
              <w:left w:val="nil"/>
              <w:bottom w:val="single" w:sz="4" w:space="0" w:color="auto"/>
              <w:right w:val="single" w:sz="4" w:space="0" w:color="auto"/>
            </w:tcBorders>
            <w:shd w:val="clear" w:color="auto" w:fill="auto"/>
            <w:noWrap/>
            <w:vAlign w:val="bottom"/>
            <w:hideMark/>
          </w:tcPr>
          <w:p w14:paraId="6B14FCE5" w14:textId="60BD0309" w:rsidR="00C23CF8" w:rsidRPr="00824BC0" w:rsidRDefault="00C23CF8" w:rsidP="00C23CF8">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1F36BF93" w14:textId="4E2A49CF" w:rsidR="00C23CF8" w:rsidRPr="00824BC0" w:rsidRDefault="00C23CF8" w:rsidP="00C23CF8">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2,600.00 </w:t>
            </w:r>
          </w:p>
        </w:tc>
        <w:tc>
          <w:tcPr>
            <w:tcW w:w="1530" w:type="dxa"/>
            <w:tcBorders>
              <w:top w:val="nil"/>
              <w:left w:val="nil"/>
              <w:bottom w:val="single" w:sz="4" w:space="0" w:color="auto"/>
              <w:right w:val="single" w:sz="4" w:space="0" w:color="auto"/>
            </w:tcBorders>
            <w:shd w:val="clear" w:color="auto" w:fill="auto"/>
            <w:noWrap/>
            <w:vAlign w:val="bottom"/>
            <w:hideMark/>
          </w:tcPr>
          <w:p w14:paraId="126030EA" w14:textId="77777777" w:rsidR="00C23CF8" w:rsidRPr="00824BC0" w:rsidRDefault="00C23CF8" w:rsidP="00C23CF8">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2,600.00 </w:t>
            </w:r>
          </w:p>
        </w:tc>
        <w:tc>
          <w:tcPr>
            <w:tcW w:w="1440" w:type="dxa"/>
            <w:tcBorders>
              <w:top w:val="nil"/>
              <w:left w:val="nil"/>
              <w:bottom w:val="single" w:sz="4" w:space="0" w:color="auto"/>
              <w:right w:val="single" w:sz="4" w:space="0" w:color="auto"/>
            </w:tcBorders>
            <w:shd w:val="clear" w:color="auto" w:fill="auto"/>
            <w:noWrap/>
            <w:vAlign w:val="bottom"/>
            <w:hideMark/>
          </w:tcPr>
          <w:p w14:paraId="0F413191" w14:textId="475E665C" w:rsidR="00C23CF8" w:rsidRPr="00824BC0" w:rsidRDefault="00C23CF8" w:rsidP="00C23CF8">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2,600.00 </w:t>
            </w:r>
          </w:p>
        </w:tc>
        <w:tc>
          <w:tcPr>
            <w:tcW w:w="1350" w:type="dxa"/>
            <w:tcBorders>
              <w:top w:val="nil"/>
              <w:left w:val="nil"/>
              <w:bottom w:val="single" w:sz="4" w:space="0" w:color="auto"/>
              <w:right w:val="single" w:sz="4" w:space="0" w:color="auto"/>
            </w:tcBorders>
            <w:shd w:val="clear" w:color="auto" w:fill="auto"/>
            <w:noWrap/>
            <w:vAlign w:val="bottom"/>
            <w:hideMark/>
          </w:tcPr>
          <w:p w14:paraId="53172FC3" w14:textId="2E083203" w:rsidR="00C23CF8" w:rsidRPr="00824BC0" w:rsidRDefault="00C23CF8" w:rsidP="00C23CF8">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r>
      <w:tr w:rsidR="00C23CF8" w:rsidRPr="00824BC0" w14:paraId="78862255" w14:textId="77777777" w:rsidTr="007F7EEB">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507EA1E" w14:textId="0B7368D9" w:rsidR="00C23CF8" w:rsidRPr="00824BC0" w:rsidRDefault="00C23CF8" w:rsidP="00C23CF8">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September </w:t>
            </w:r>
          </w:p>
        </w:tc>
        <w:tc>
          <w:tcPr>
            <w:tcW w:w="1535" w:type="dxa"/>
            <w:tcBorders>
              <w:top w:val="nil"/>
              <w:left w:val="nil"/>
              <w:bottom w:val="single" w:sz="4" w:space="0" w:color="auto"/>
              <w:right w:val="single" w:sz="4" w:space="0" w:color="auto"/>
            </w:tcBorders>
            <w:shd w:val="clear" w:color="auto" w:fill="auto"/>
            <w:noWrap/>
            <w:vAlign w:val="bottom"/>
            <w:hideMark/>
          </w:tcPr>
          <w:p w14:paraId="3BAD3C8B" w14:textId="2923E874" w:rsidR="00C23CF8" w:rsidRPr="00824BC0" w:rsidRDefault="00C23CF8" w:rsidP="00C23CF8">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7FF86A72" w14:textId="61996362" w:rsidR="00C23CF8" w:rsidRPr="00824BC0" w:rsidRDefault="00C23CF8" w:rsidP="00C23CF8">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2,600.00 </w:t>
            </w:r>
          </w:p>
        </w:tc>
        <w:tc>
          <w:tcPr>
            <w:tcW w:w="1530" w:type="dxa"/>
            <w:tcBorders>
              <w:top w:val="nil"/>
              <w:left w:val="nil"/>
              <w:bottom w:val="single" w:sz="4" w:space="0" w:color="auto"/>
              <w:right w:val="single" w:sz="4" w:space="0" w:color="auto"/>
            </w:tcBorders>
            <w:shd w:val="clear" w:color="auto" w:fill="auto"/>
            <w:noWrap/>
            <w:vAlign w:val="bottom"/>
            <w:hideMark/>
          </w:tcPr>
          <w:p w14:paraId="7818A254" w14:textId="77777777" w:rsidR="00C23CF8" w:rsidRPr="00824BC0" w:rsidRDefault="00C23CF8" w:rsidP="00C23CF8">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2,600.00 </w:t>
            </w:r>
          </w:p>
        </w:tc>
        <w:tc>
          <w:tcPr>
            <w:tcW w:w="1440" w:type="dxa"/>
            <w:tcBorders>
              <w:top w:val="nil"/>
              <w:left w:val="nil"/>
              <w:bottom w:val="single" w:sz="4" w:space="0" w:color="auto"/>
              <w:right w:val="single" w:sz="4" w:space="0" w:color="auto"/>
            </w:tcBorders>
            <w:shd w:val="clear" w:color="auto" w:fill="auto"/>
            <w:noWrap/>
            <w:vAlign w:val="bottom"/>
            <w:hideMark/>
          </w:tcPr>
          <w:p w14:paraId="641867BA" w14:textId="54869E1C" w:rsidR="00C23CF8" w:rsidRPr="00824BC0" w:rsidRDefault="00C23CF8" w:rsidP="00C23CF8">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2,600.00 </w:t>
            </w:r>
          </w:p>
        </w:tc>
        <w:tc>
          <w:tcPr>
            <w:tcW w:w="1350" w:type="dxa"/>
            <w:tcBorders>
              <w:top w:val="nil"/>
              <w:left w:val="nil"/>
              <w:bottom w:val="single" w:sz="4" w:space="0" w:color="auto"/>
              <w:right w:val="single" w:sz="4" w:space="0" w:color="auto"/>
            </w:tcBorders>
            <w:shd w:val="clear" w:color="auto" w:fill="auto"/>
            <w:noWrap/>
            <w:vAlign w:val="bottom"/>
            <w:hideMark/>
          </w:tcPr>
          <w:p w14:paraId="1750241D" w14:textId="601FA072" w:rsidR="00C23CF8" w:rsidRPr="00824BC0" w:rsidRDefault="00C23CF8" w:rsidP="00C23CF8">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r>
      <w:tr w:rsidR="00C23CF8" w:rsidRPr="00824BC0" w14:paraId="7C9E052D" w14:textId="77777777" w:rsidTr="007F7EEB">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CE000C1" w14:textId="385B133A" w:rsidR="00C23CF8" w:rsidRPr="00824BC0" w:rsidRDefault="00C23CF8" w:rsidP="00C23CF8">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October </w:t>
            </w:r>
          </w:p>
        </w:tc>
        <w:tc>
          <w:tcPr>
            <w:tcW w:w="1535" w:type="dxa"/>
            <w:tcBorders>
              <w:top w:val="nil"/>
              <w:left w:val="nil"/>
              <w:bottom w:val="single" w:sz="4" w:space="0" w:color="auto"/>
              <w:right w:val="single" w:sz="4" w:space="0" w:color="auto"/>
            </w:tcBorders>
            <w:shd w:val="clear" w:color="auto" w:fill="auto"/>
            <w:noWrap/>
            <w:vAlign w:val="bottom"/>
            <w:hideMark/>
          </w:tcPr>
          <w:p w14:paraId="4889B8EA" w14:textId="5D2D1DC7" w:rsidR="00C23CF8" w:rsidRPr="00824BC0" w:rsidRDefault="00C23CF8" w:rsidP="00C23CF8">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6687C9D0" w14:textId="391423BD" w:rsidR="00C23CF8" w:rsidRPr="00824BC0" w:rsidRDefault="00C23CF8" w:rsidP="00C23CF8">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0256247B" w14:textId="757A98F9" w:rsidR="00C23CF8" w:rsidRPr="00824BC0" w:rsidRDefault="00C23CF8" w:rsidP="00C23CF8">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3DC23616" w14:textId="27B7ADF5" w:rsidR="00C23CF8" w:rsidRPr="00824BC0" w:rsidRDefault="00C23CF8" w:rsidP="00C23CF8">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350" w:type="dxa"/>
            <w:tcBorders>
              <w:top w:val="nil"/>
              <w:left w:val="nil"/>
              <w:bottom w:val="single" w:sz="4" w:space="0" w:color="auto"/>
              <w:right w:val="single" w:sz="4" w:space="0" w:color="auto"/>
            </w:tcBorders>
            <w:shd w:val="clear" w:color="auto" w:fill="auto"/>
            <w:noWrap/>
            <w:vAlign w:val="bottom"/>
            <w:hideMark/>
          </w:tcPr>
          <w:p w14:paraId="5EA1B4B2" w14:textId="586AB564" w:rsidR="00C23CF8" w:rsidRPr="00824BC0" w:rsidRDefault="00C23CF8" w:rsidP="00C23CF8">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r>
      <w:tr w:rsidR="00C23CF8" w:rsidRPr="00824BC0" w14:paraId="2A5B376D" w14:textId="77777777" w:rsidTr="007F7EEB">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5397A7F" w14:textId="77777777" w:rsidR="00C23CF8" w:rsidRPr="00824BC0" w:rsidRDefault="00C23CF8" w:rsidP="00C23CF8">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November </w:t>
            </w:r>
          </w:p>
        </w:tc>
        <w:tc>
          <w:tcPr>
            <w:tcW w:w="1535" w:type="dxa"/>
            <w:tcBorders>
              <w:top w:val="nil"/>
              <w:left w:val="nil"/>
              <w:bottom w:val="single" w:sz="4" w:space="0" w:color="auto"/>
              <w:right w:val="single" w:sz="4" w:space="0" w:color="auto"/>
            </w:tcBorders>
            <w:shd w:val="clear" w:color="auto" w:fill="auto"/>
            <w:noWrap/>
            <w:vAlign w:val="bottom"/>
            <w:hideMark/>
          </w:tcPr>
          <w:p w14:paraId="191D2A63" w14:textId="6C02C796" w:rsidR="00C23CF8" w:rsidRPr="00824BC0" w:rsidRDefault="00C23CF8" w:rsidP="00C23CF8">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0EEFE00D" w14:textId="5ED0D35D" w:rsidR="00C23CF8" w:rsidRPr="00824BC0" w:rsidRDefault="00C23CF8" w:rsidP="00C23CF8">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2372FC29" w14:textId="1A2E5F82" w:rsidR="00C23CF8" w:rsidRPr="00824BC0" w:rsidRDefault="00C23CF8" w:rsidP="00C23CF8">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0D407588" w14:textId="32A6EA5A" w:rsidR="00C23CF8" w:rsidRPr="00824BC0" w:rsidRDefault="00C23CF8" w:rsidP="00C23CF8">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350" w:type="dxa"/>
            <w:tcBorders>
              <w:top w:val="nil"/>
              <w:left w:val="nil"/>
              <w:bottom w:val="single" w:sz="4" w:space="0" w:color="auto"/>
              <w:right w:val="single" w:sz="4" w:space="0" w:color="auto"/>
            </w:tcBorders>
            <w:shd w:val="clear" w:color="auto" w:fill="auto"/>
            <w:noWrap/>
            <w:vAlign w:val="bottom"/>
            <w:hideMark/>
          </w:tcPr>
          <w:p w14:paraId="7CE9A491" w14:textId="566B26A0" w:rsidR="00C23CF8" w:rsidRPr="00824BC0" w:rsidRDefault="00C23CF8" w:rsidP="00C23CF8">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r>
      <w:tr w:rsidR="00C23CF8" w:rsidRPr="00824BC0" w14:paraId="2D907872" w14:textId="77777777" w:rsidTr="007F7EEB">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86A280B" w14:textId="77777777" w:rsidR="00C23CF8" w:rsidRPr="00824BC0" w:rsidRDefault="00C23CF8" w:rsidP="00C23CF8">
            <w:pPr>
              <w:spacing w:after="0" w:line="240" w:lineRule="auto"/>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 xml:space="preserve"> December </w:t>
            </w:r>
          </w:p>
        </w:tc>
        <w:tc>
          <w:tcPr>
            <w:tcW w:w="1535" w:type="dxa"/>
            <w:tcBorders>
              <w:top w:val="nil"/>
              <w:left w:val="nil"/>
              <w:bottom w:val="single" w:sz="4" w:space="0" w:color="auto"/>
              <w:right w:val="single" w:sz="4" w:space="0" w:color="auto"/>
            </w:tcBorders>
            <w:shd w:val="clear" w:color="auto" w:fill="auto"/>
            <w:noWrap/>
            <w:vAlign w:val="bottom"/>
            <w:hideMark/>
          </w:tcPr>
          <w:p w14:paraId="6B8EE07F" w14:textId="0CB0ACE7" w:rsidR="00C23CF8" w:rsidRPr="00824BC0" w:rsidRDefault="00C23CF8" w:rsidP="00C23CF8">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6347524F" w14:textId="7AC860E5" w:rsidR="00C23CF8" w:rsidRPr="00824BC0" w:rsidRDefault="00C23CF8" w:rsidP="00C23CF8">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422D8960" w14:textId="6AAABBDE" w:rsidR="00C23CF8" w:rsidRPr="00824BC0" w:rsidRDefault="00C23CF8" w:rsidP="00C23CF8">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67FBF832" w14:textId="7001AB90" w:rsidR="00C23CF8" w:rsidRPr="00824BC0" w:rsidRDefault="00C23CF8" w:rsidP="00C23CF8">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c>
          <w:tcPr>
            <w:tcW w:w="1350" w:type="dxa"/>
            <w:tcBorders>
              <w:top w:val="nil"/>
              <w:left w:val="nil"/>
              <w:bottom w:val="single" w:sz="4" w:space="0" w:color="auto"/>
              <w:right w:val="single" w:sz="4" w:space="0" w:color="auto"/>
            </w:tcBorders>
            <w:shd w:val="clear" w:color="auto" w:fill="auto"/>
            <w:noWrap/>
            <w:vAlign w:val="bottom"/>
            <w:hideMark/>
          </w:tcPr>
          <w:p w14:paraId="486D8B94" w14:textId="3FF91C8C" w:rsidR="00C23CF8" w:rsidRPr="00824BC0" w:rsidRDefault="00C23CF8" w:rsidP="00C23CF8">
            <w:pPr>
              <w:spacing w:after="0" w:line="240" w:lineRule="auto"/>
              <w:jc w:val="right"/>
              <w:rPr>
                <w:rFonts w:ascii="Times New Roman" w:eastAsia="Times New Roman" w:hAnsi="Times New Roman" w:cs="Times New Roman"/>
                <w:color w:val="000000"/>
                <w:sz w:val="24"/>
                <w:szCs w:val="24"/>
                <w:lang w:eastAsia="en-PH"/>
              </w:rPr>
            </w:pPr>
            <w:r w:rsidRPr="00824BC0">
              <w:rPr>
                <w:rFonts w:ascii="Times New Roman" w:eastAsia="Times New Roman" w:hAnsi="Times New Roman" w:cs="Times New Roman"/>
                <w:color w:val="000000"/>
                <w:sz w:val="24"/>
                <w:szCs w:val="24"/>
                <w:lang w:eastAsia="en-PH"/>
              </w:rPr>
              <w:t>0.00</w:t>
            </w:r>
          </w:p>
        </w:tc>
      </w:tr>
    </w:tbl>
    <w:p w14:paraId="6230AB05" w14:textId="77777777" w:rsidR="00024BF0" w:rsidRPr="00824BC0" w:rsidRDefault="00024BF0" w:rsidP="00024BF0">
      <w:pPr>
        <w:pStyle w:val="ListParagraph"/>
        <w:ind w:left="0"/>
        <w:contextualSpacing w:val="0"/>
        <w:jc w:val="both"/>
        <w:rPr>
          <w:bCs/>
          <w:iCs/>
          <w:szCs w:val="24"/>
        </w:rPr>
      </w:pPr>
    </w:p>
    <w:p w14:paraId="2E8BE65D" w14:textId="41013269" w:rsidR="00024BF0" w:rsidRPr="00824BC0" w:rsidRDefault="00C23CF8" w:rsidP="00024BF0">
      <w:pPr>
        <w:pStyle w:val="ListParagraph"/>
        <w:numPr>
          <w:ilvl w:val="1"/>
          <w:numId w:val="5"/>
        </w:numPr>
        <w:ind w:left="0" w:firstLine="0"/>
        <w:contextualSpacing w:val="0"/>
        <w:jc w:val="both"/>
        <w:rPr>
          <w:bCs/>
          <w:iCs/>
          <w:szCs w:val="24"/>
        </w:rPr>
      </w:pPr>
      <w:r w:rsidRPr="00824BC0">
        <w:rPr>
          <w:bCs/>
          <w:iCs/>
          <w:szCs w:val="24"/>
        </w:rPr>
        <w:t xml:space="preserve">The delayed remittances noted in some months were caused by quarantine restrictions due to cases of COVID-19.  However, the remittances were </w:t>
      </w:r>
      <w:r w:rsidR="00086746" w:rsidRPr="00824BC0">
        <w:rPr>
          <w:bCs/>
          <w:iCs/>
          <w:szCs w:val="24"/>
        </w:rPr>
        <w:t>settled</w:t>
      </w:r>
      <w:r w:rsidRPr="00824BC0">
        <w:rPr>
          <w:bCs/>
          <w:iCs/>
          <w:szCs w:val="24"/>
        </w:rPr>
        <w:t xml:space="preserve"> in full by the end of CY 2021.  As such, penalties for late payments were avoided and the employees were able to enjoy the benefits of their membership </w:t>
      </w:r>
      <w:r w:rsidR="003F4525" w:rsidRPr="00824BC0">
        <w:rPr>
          <w:bCs/>
          <w:iCs/>
          <w:szCs w:val="24"/>
        </w:rPr>
        <w:t>to</w:t>
      </w:r>
      <w:r w:rsidRPr="00824BC0">
        <w:rPr>
          <w:bCs/>
          <w:iCs/>
          <w:szCs w:val="24"/>
        </w:rPr>
        <w:t xml:space="preserve"> these government institutions.</w:t>
      </w:r>
    </w:p>
    <w:p w14:paraId="0D1AFE04" w14:textId="77777777" w:rsidR="00B1011D" w:rsidRPr="00824BC0" w:rsidRDefault="00B1011D" w:rsidP="00B1011D">
      <w:pPr>
        <w:pStyle w:val="ListParagraph"/>
        <w:ind w:left="0"/>
        <w:contextualSpacing w:val="0"/>
        <w:jc w:val="both"/>
        <w:rPr>
          <w:bCs/>
          <w:iCs/>
          <w:szCs w:val="24"/>
        </w:rPr>
      </w:pPr>
    </w:p>
    <w:p w14:paraId="6416982E" w14:textId="6F78D52F" w:rsidR="00B1011D" w:rsidRPr="00824BC0" w:rsidRDefault="00B1011D" w:rsidP="00024BF0">
      <w:pPr>
        <w:pStyle w:val="ListParagraph"/>
        <w:numPr>
          <w:ilvl w:val="1"/>
          <w:numId w:val="5"/>
        </w:numPr>
        <w:ind w:left="0" w:firstLine="0"/>
        <w:contextualSpacing w:val="0"/>
        <w:jc w:val="both"/>
        <w:rPr>
          <w:bCs/>
          <w:iCs/>
          <w:szCs w:val="24"/>
        </w:rPr>
      </w:pPr>
      <w:r w:rsidRPr="00824BC0">
        <w:rPr>
          <w:b/>
          <w:color w:val="000000" w:themeColor="text1"/>
        </w:rPr>
        <w:t xml:space="preserve">We recommended and Management agreed to direct the College Accountant to continue to be compliant with the remittance of mandatory contributions due to </w:t>
      </w:r>
      <w:r w:rsidR="00196742" w:rsidRPr="00824BC0">
        <w:rPr>
          <w:b/>
          <w:color w:val="000000" w:themeColor="text1"/>
        </w:rPr>
        <w:t>PhilHealth</w:t>
      </w:r>
      <w:r w:rsidRPr="00824BC0">
        <w:rPr>
          <w:b/>
          <w:color w:val="000000" w:themeColor="text1"/>
        </w:rPr>
        <w:t xml:space="preserve"> and </w:t>
      </w:r>
      <w:r w:rsidR="00196742" w:rsidRPr="00824BC0">
        <w:rPr>
          <w:b/>
          <w:color w:val="000000" w:themeColor="text1"/>
        </w:rPr>
        <w:t xml:space="preserve">the </w:t>
      </w:r>
      <w:r w:rsidRPr="00824BC0">
        <w:rPr>
          <w:b/>
          <w:color w:val="000000" w:themeColor="text1"/>
        </w:rPr>
        <w:t>Pag-IBIG Fund.</w:t>
      </w:r>
    </w:p>
    <w:p w14:paraId="202B58E5" w14:textId="3DDC0B75" w:rsidR="00B1011D" w:rsidRPr="00824BC0" w:rsidRDefault="00B1011D" w:rsidP="00B1011D">
      <w:pPr>
        <w:pStyle w:val="ListParagraph"/>
        <w:rPr>
          <w:bCs/>
          <w:iCs/>
          <w:szCs w:val="24"/>
        </w:rPr>
      </w:pPr>
    </w:p>
    <w:p w14:paraId="3DB06311" w14:textId="77777777" w:rsidR="00100AFA" w:rsidRPr="00824BC0" w:rsidRDefault="00100AFA" w:rsidP="00B1011D">
      <w:pPr>
        <w:pStyle w:val="ListParagraph"/>
        <w:rPr>
          <w:bCs/>
          <w:iCs/>
          <w:szCs w:val="24"/>
        </w:rPr>
      </w:pPr>
    </w:p>
    <w:p w14:paraId="1F447438" w14:textId="7A59CE16" w:rsidR="00B1011D" w:rsidRPr="00824BC0" w:rsidRDefault="00B1011D" w:rsidP="00B1011D">
      <w:pPr>
        <w:pStyle w:val="ListParagraph"/>
        <w:ind w:left="0"/>
        <w:contextualSpacing w:val="0"/>
        <w:jc w:val="both"/>
        <w:rPr>
          <w:bCs/>
          <w:i/>
          <w:szCs w:val="24"/>
        </w:rPr>
      </w:pPr>
      <w:r w:rsidRPr="00824BC0">
        <w:rPr>
          <w:bCs/>
          <w:i/>
          <w:szCs w:val="24"/>
        </w:rPr>
        <w:t>Status of Settlement of Suspensions, Disallowances and Charges</w:t>
      </w:r>
    </w:p>
    <w:p w14:paraId="6244220B" w14:textId="6ADAEA2B" w:rsidR="009B068B" w:rsidRPr="00824BC0" w:rsidRDefault="009B068B" w:rsidP="00B1011D">
      <w:pPr>
        <w:pStyle w:val="ListParagraph"/>
        <w:ind w:left="0"/>
        <w:contextualSpacing w:val="0"/>
        <w:jc w:val="both"/>
        <w:rPr>
          <w:bCs/>
          <w:iCs/>
          <w:szCs w:val="24"/>
        </w:rPr>
      </w:pPr>
    </w:p>
    <w:p w14:paraId="3C386A97" w14:textId="509DB64E" w:rsidR="00540664" w:rsidRPr="006024A3" w:rsidRDefault="005E541F" w:rsidP="00540664">
      <w:pPr>
        <w:pStyle w:val="ListParagraph"/>
        <w:numPr>
          <w:ilvl w:val="0"/>
          <w:numId w:val="5"/>
        </w:numPr>
        <w:ind w:left="0" w:firstLine="0"/>
        <w:contextualSpacing w:val="0"/>
        <w:jc w:val="both"/>
        <w:rPr>
          <w:b/>
          <w:i/>
          <w:szCs w:val="24"/>
        </w:rPr>
      </w:pPr>
      <w:r w:rsidRPr="006024A3">
        <w:rPr>
          <w:b/>
          <w:i/>
          <w:szCs w:val="24"/>
        </w:rPr>
        <w:t xml:space="preserve">As of December 31, 2021, the total audit disallowances amounting to </w:t>
      </w:r>
      <w:r w:rsidR="004B2CA8" w:rsidRPr="006024A3">
        <w:rPr>
          <w:b/>
          <w:bCs/>
          <w:i/>
          <w:szCs w:val="24"/>
        </w:rPr>
        <w:t>₱</w:t>
      </w:r>
      <w:r w:rsidRPr="006024A3">
        <w:rPr>
          <w:b/>
          <w:i/>
          <w:szCs w:val="24"/>
        </w:rPr>
        <w:t xml:space="preserve">1,651,581.38 remained unsettled </w:t>
      </w:r>
      <w:r w:rsidR="003877AC" w:rsidRPr="006024A3">
        <w:rPr>
          <w:b/>
          <w:i/>
          <w:szCs w:val="24"/>
        </w:rPr>
        <w:t>contrary to Section 7.1 of the Revised Rules on the Settlement of Accounts (RRSA)</w:t>
      </w:r>
    </w:p>
    <w:p w14:paraId="3B87241B" w14:textId="708B3692" w:rsidR="005E541F" w:rsidRPr="00824BC0" w:rsidRDefault="005E541F" w:rsidP="00B1011D">
      <w:pPr>
        <w:pStyle w:val="ListParagraph"/>
        <w:ind w:left="0"/>
        <w:contextualSpacing w:val="0"/>
        <w:jc w:val="both"/>
        <w:rPr>
          <w:b/>
          <w:iCs/>
          <w:szCs w:val="24"/>
        </w:rPr>
      </w:pPr>
    </w:p>
    <w:p w14:paraId="7FE220AA" w14:textId="1CD6B615" w:rsidR="00540664" w:rsidRPr="00824BC0" w:rsidRDefault="00540664" w:rsidP="00540664">
      <w:pPr>
        <w:pStyle w:val="ListParagraph"/>
        <w:numPr>
          <w:ilvl w:val="0"/>
          <w:numId w:val="27"/>
        </w:numPr>
        <w:ind w:left="0" w:firstLine="0"/>
        <w:jc w:val="both"/>
        <w:rPr>
          <w:bCs/>
          <w:color w:val="000000" w:themeColor="text1"/>
          <w:szCs w:val="24"/>
        </w:rPr>
      </w:pPr>
      <w:r w:rsidRPr="00824BC0">
        <w:rPr>
          <w:bCs/>
          <w:iCs/>
          <w:szCs w:val="24"/>
        </w:rPr>
        <w:t xml:space="preserve"> </w:t>
      </w:r>
      <w:r w:rsidRPr="00824BC0">
        <w:rPr>
          <w:bCs/>
          <w:color w:val="000000" w:themeColor="text1"/>
          <w:szCs w:val="24"/>
        </w:rPr>
        <w:t>Section 7.1 of the Revised Rules on the Settlement of Accounts (RRSA) provides, among others</w:t>
      </w:r>
      <w:r w:rsidR="00196742" w:rsidRPr="00824BC0">
        <w:rPr>
          <w:bCs/>
          <w:color w:val="000000" w:themeColor="text1"/>
          <w:szCs w:val="24"/>
        </w:rPr>
        <w:t>,</w:t>
      </w:r>
      <w:r w:rsidRPr="00824BC0">
        <w:rPr>
          <w:bCs/>
          <w:color w:val="000000" w:themeColor="text1"/>
          <w:szCs w:val="24"/>
        </w:rPr>
        <w:t xml:space="preserve"> that the Head of Agency shall ensure that the settlement of disallowances and charges is made within the prescribed period, the requirements of transactions suspended in audit are complied with</w:t>
      </w:r>
      <w:r w:rsidR="00196742" w:rsidRPr="00824BC0">
        <w:rPr>
          <w:bCs/>
          <w:color w:val="000000" w:themeColor="text1"/>
          <w:szCs w:val="24"/>
        </w:rPr>
        <w:t>,</w:t>
      </w:r>
      <w:r w:rsidRPr="00824BC0">
        <w:rPr>
          <w:bCs/>
          <w:color w:val="000000" w:themeColor="text1"/>
          <w:szCs w:val="24"/>
        </w:rPr>
        <w:t xml:space="preserve"> and appropriate actions are taken on the deficiencies noted as contained in the Audit Observation Memorandum (AOM). </w:t>
      </w:r>
    </w:p>
    <w:p w14:paraId="1067B94A" w14:textId="77777777" w:rsidR="00540664" w:rsidRPr="00824BC0" w:rsidRDefault="00540664" w:rsidP="00540664">
      <w:pPr>
        <w:pStyle w:val="ListParagraph"/>
        <w:ind w:left="0"/>
        <w:jc w:val="both"/>
        <w:rPr>
          <w:bCs/>
          <w:color w:val="000000" w:themeColor="text1"/>
          <w:szCs w:val="24"/>
        </w:rPr>
      </w:pPr>
    </w:p>
    <w:p w14:paraId="24A0FB98" w14:textId="740A19AC" w:rsidR="007C45AD" w:rsidRPr="00824BC0" w:rsidRDefault="00540664" w:rsidP="007C45AD">
      <w:pPr>
        <w:pStyle w:val="ListParagraph"/>
        <w:numPr>
          <w:ilvl w:val="0"/>
          <w:numId w:val="27"/>
        </w:numPr>
        <w:ind w:left="0" w:firstLine="0"/>
        <w:jc w:val="both"/>
        <w:rPr>
          <w:bCs/>
          <w:color w:val="000000" w:themeColor="text1"/>
          <w:szCs w:val="24"/>
        </w:rPr>
      </w:pPr>
      <w:r w:rsidRPr="00824BC0">
        <w:rPr>
          <w:bCs/>
          <w:color w:val="000000" w:themeColor="text1"/>
          <w:szCs w:val="24"/>
        </w:rPr>
        <w:lastRenderedPageBreak/>
        <w:t xml:space="preserve">As of year-end, the balance of the unsettled disallowances </w:t>
      </w:r>
      <w:r w:rsidR="00196742" w:rsidRPr="00824BC0">
        <w:rPr>
          <w:bCs/>
          <w:color w:val="000000" w:themeColor="text1"/>
          <w:szCs w:val="24"/>
        </w:rPr>
        <w:t xml:space="preserve">amounted </w:t>
      </w:r>
      <w:r w:rsidR="007C45AD" w:rsidRPr="00824BC0">
        <w:rPr>
          <w:bCs/>
          <w:color w:val="000000" w:themeColor="text1"/>
          <w:szCs w:val="24"/>
        </w:rPr>
        <w:t>to</w:t>
      </w:r>
      <w:r w:rsidRPr="00824BC0">
        <w:rPr>
          <w:bCs/>
          <w:color w:val="000000" w:themeColor="text1"/>
          <w:szCs w:val="24"/>
        </w:rPr>
        <w:t xml:space="preserve"> </w:t>
      </w:r>
      <w:r w:rsidR="004B2CA8" w:rsidRPr="00824BC0">
        <w:rPr>
          <w:szCs w:val="24"/>
        </w:rPr>
        <w:t>₱</w:t>
      </w:r>
      <w:r w:rsidRPr="00824BC0">
        <w:rPr>
          <w:bCs/>
          <w:color w:val="000000" w:themeColor="text1"/>
          <w:szCs w:val="24"/>
        </w:rPr>
        <w:t>1,651,581.38</w:t>
      </w:r>
      <w:r w:rsidR="007C45AD" w:rsidRPr="00824BC0">
        <w:rPr>
          <w:bCs/>
          <w:color w:val="000000" w:themeColor="text1"/>
          <w:szCs w:val="24"/>
        </w:rPr>
        <w:t>, arrived at as follows:</w:t>
      </w:r>
      <w:r w:rsidRPr="00824BC0">
        <w:rPr>
          <w:bCs/>
          <w:color w:val="000000" w:themeColor="text1"/>
          <w:szCs w:val="24"/>
        </w:rPr>
        <w:t xml:space="preserve"> </w:t>
      </w:r>
    </w:p>
    <w:p w14:paraId="34558BA4" w14:textId="77777777" w:rsidR="00572A46" w:rsidRPr="00824BC0" w:rsidRDefault="00572A46" w:rsidP="00572A46">
      <w:pPr>
        <w:pStyle w:val="ListParagraph"/>
        <w:ind w:left="0"/>
        <w:jc w:val="both"/>
        <w:rPr>
          <w:bCs/>
          <w:color w:val="000000" w:themeColor="text1"/>
          <w:szCs w:val="24"/>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861"/>
        <w:gridCol w:w="1675"/>
        <w:gridCol w:w="1794"/>
        <w:gridCol w:w="1761"/>
      </w:tblGrid>
      <w:tr w:rsidR="007C45AD" w:rsidRPr="00824BC0" w14:paraId="2BBB942E" w14:textId="77777777" w:rsidTr="004B2CA8">
        <w:trPr>
          <w:trHeight w:val="1082"/>
          <w:jc w:val="center"/>
        </w:trPr>
        <w:tc>
          <w:tcPr>
            <w:tcW w:w="1135" w:type="dxa"/>
            <w:vMerge w:val="restart"/>
            <w:shd w:val="clear" w:color="auto" w:fill="auto"/>
          </w:tcPr>
          <w:p w14:paraId="4874007D" w14:textId="77777777" w:rsidR="007C45AD" w:rsidRPr="00824BC0" w:rsidRDefault="007C45AD" w:rsidP="006559E4">
            <w:pPr>
              <w:spacing w:after="0" w:line="240" w:lineRule="auto"/>
              <w:rPr>
                <w:rFonts w:ascii="Times New Roman" w:eastAsia="Times New Roman" w:hAnsi="Times New Roman" w:cs="Times New Roman"/>
                <w:b/>
                <w:color w:val="000000" w:themeColor="text1"/>
                <w:sz w:val="23"/>
                <w:szCs w:val="23"/>
              </w:rPr>
            </w:pPr>
          </w:p>
          <w:p w14:paraId="2543A8CF" w14:textId="77777777" w:rsidR="007C45AD" w:rsidRPr="00824BC0" w:rsidRDefault="007C45AD" w:rsidP="006559E4">
            <w:pPr>
              <w:spacing w:after="0" w:line="240" w:lineRule="auto"/>
              <w:rPr>
                <w:rFonts w:ascii="Times New Roman" w:eastAsia="Times New Roman" w:hAnsi="Times New Roman" w:cs="Times New Roman"/>
                <w:b/>
                <w:color w:val="000000" w:themeColor="text1"/>
                <w:sz w:val="23"/>
                <w:szCs w:val="23"/>
              </w:rPr>
            </w:pPr>
          </w:p>
          <w:p w14:paraId="2FAFC82B" w14:textId="77777777" w:rsidR="007C45AD" w:rsidRPr="00824BC0" w:rsidRDefault="007C45AD" w:rsidP="006559E4">
            <w:pPr>
              <w:spacing w:after="0" w:line="240" w:lineRule="auto"/>
              <w:jc w:val="center"/>
              <w:rPr>
                <w:rFonts w:ascii="Times New Roman" w:eastAsia="Times New Roman" w:hAnsi="Times New Roman" w:cs="Times New Roman"/>
                <w:b/>
                <w:color w:val="000000" w:themeColor="text1"/>
                <w:sz w:val="23"/>
                <w:szCs w:val="23"/>
              </w:rPr>
            </w:pPr>
            <w:r w:rsidRPr="00824BC0">
              <w:rPr>
                <w:rFonts w:ascii="Times New Roman" w:eastAsia="Times New Roman" w:hAnsi="Times New Roman" w:cs="Times New Roman"/>
                <w:b/>
                <w:color w:val="000000" w:themeColor="text1"/>
                <w:sz w:val="23"/>
                <w:szCs w:val="23"/>
              </w:rPr>
              <w:t>Notices</w:t>
            </w:r>
          </w:p>
        </w:tc>
        <w:tc>
          <w:tcPr>
            <w:tcW w:w="1934" w:type="dxa"/>
            <w:vMerge w:val="restart"/>
            <w:shd w:val="clear" w:color="auto" w:fill="auto"/>
            <w:vAlign w:val="center"/>
          </w:tcPr>
          <w:p w14:paraId="059EF197" w14:textId="77777777" w:rsidR="007C45AD" w:rsidRPr="00824BC0" w:rsidRDefault="007C45AD" w:rsidP="006559E4">
            <w:pPr>
              <w:spacing w:after="0" w:line="240" w:lineRule="auto"/>
              <w:jc w:val="center"/>
              <w:rPr>
                <w:rFonts w:ascii="Times New Roman" w:eastAsia="Times New Roman" w:hAnsi="Times New Roman" w:cs="Times New Roman"/>
                <w:b/>
                <w:color w:val="000000" w:themeColor="text1"/>
                <w:sz w:val="23"/>
                <w:szCs w:val="23"/>
              </w:rPr>
            </w:pPr>
            <w:r w:rsidRPr="00824BC0">
              <w:rPr>
                <w:rFonts w:ascii="Times New Roman" w:eastAsia="Times New Roman" w:hAnsi="Times New Roman" w:cs="Times New Roman"/>
                <w:b/>
                <w:color w:val="000000" w:themeColor="text1"/>
                <w:sz w:val="23"/>
                <w:szCs w:val="23"/>
              </w:rPr>
              <w:t>Beginning Balance</w:t>
            </w:r>
          </w:p>
          <w:p w14:paraId="3DA6EAC6" w14:textId="77777777" w:rsidR="007C45AD" w:rsidRPr="00824BC0" w:rsidRDefault="007C45AD" w:rsidP="006559E4">
            <w:pPr>
              <w:spacing w:after="0" w:line="240" w:lineRule="auto"/>
              <w:jc w:val="center"/>
              <w:rPr>
                <w:rFonts w:ascii="Times New Roman" w:eastAsia="Times New Roman" w:hAnsi="Times New Roman" w:cs="Times New Roman"/>
                <w:b/>
                <w:color w:val="000000" w:themeColor="text1"/>
                <w:sz w:val="23"/>
                <w:szCs w:val="23"/>
              </w:rPr>
            </w:pPr>
            <w:r w:rsidRPr="00824BC0">
              <w:rPr>
                <w:rFonts w:ascii="Times New Roman" w:eastAsia="Times New Roman" w:hAnsi="Times New Roman" w:cs="Times New Roman"/>
                <w:b/>
                <w:color w:val="000000" w:themeColor="text1"/>
                <w:sz w:val="23"/>
                <w:szCs w:val="23"/>
              </w:rPr>
              <w:t>(As of December 31, 2020)</w:t>
            </w:r>
          </w:p>
        </w:tc>
        <w:tc>
          <w:tcPr>
            <w:tcW w:w="1737" w:type="dxa"/>
            <w:shd w:val="clear" w:color="auto" w:fill="auto"/>
            <w:vAlign w:val="center"/>
          </w:tcPr>
          <w:p w14:paraId="47897B41" w14:textId="77777777" w:rsidR="007C45AD" w:rsidRPr="00824BC0" w:rsidRDefault="007C45AD" w:rsidP="006559E4">
            <w:pPr>
              <w:spacing w:after="0" w:line="240" w:lineRule="auto"/>
              <w:jc w:val="center"/>
              <w:rPr>
                <w:rFonts w:ascii="Times New Roman" w:eastAsia="Times New Roman" w:hAnsi="Times New Roman" w:cs="Times New Roman"/>
                <w:b/>
                <w:color w:val="000000" w:themeColor="text1"/>
                <w:sz w:val="23"/>
                <w:szCs w:val="23"/>
              </w:rPr>
            </w:pPr>
            <w:r w:rsidRPr="00824BC0">
              <w:rPr>
                <w:rFonts w:ascii="Times New Roman" w:eastAsia="Times New Roman" w:hAnsi="Times New Roman" w:cs="Times New Roman"/>
                <w:b/>
                <w:color w:val="000000" w:themeColor="text1"/>
                <w:sz w:val="23"/>
                <w:szCs w:val="23"/>
              </w:rPr>
              <w:t>This period</w:t>
            </w:r>
          </w:p>
          <w:p w14:paraId="004A57D7" w14:textId="77777777" w:rsidR="007C45AD" w:rsidRPr="00824BC0" w:rsidRDefault="007C45AD" w:rsidP="006559E4">
            <w:pPr>
              <w:spacing w:after="0" w:line="240" w:lineRule="auto"/>
              <w:jc w:val="center"/>
              <w:rPr>
                <w:rFonts w:ascii="Times New Roman" w:eastAsia="Times New Roman" w:hAnsi="Times New Roman" w:cs="Times New Roman"/>
                <w:b/>
                <w:color w:val="000000" w:themeColor="text1"/>
                <w:sz w:val="23"/>
                <w:szCs w:val="23"/>
              </w:rPr>
            </w:pPr>
            <w:r w:rsidRPr="00824BC0">
              <w:rPr>
                <w:rFonts w:ascii="Times New Roman" w:eastAsia="Times New Roman" w:hAnsi="Times New Roman" w:cs="Times New Roman"/>
                <w:b/>
                <w:color w:val="000000" w:themeColor="text1"/>
                <w:sz w:val="23"/>
                <w:szCs w:val="23"/>
              </w:rPr>
              <w:t>(January 1 to December 31, 2021)</w:t>
            </w:r>
          </w:p>
        </w:tc>
        <w:tc>
          <w:tcPr>
            <w:tcW w:w="1882" w:type="dxa"/>
            <w:shd w:val="clear" w:color="auto" w:fill="auto"/>
            <w:vAlign w:val="center"/>
          </w:tcPr>
          <w:p w14:paraId="3F1883CF" w14:textId="77777777" w:rsidR="007C45AD" w:rsidRPr="00824BC0" w:rsidRDefault="007C45AD" w:rsidP="006559E4">
            <w:pPr>
              <w:spacing w:after="0" w:line="240" w:lineRule="auto"/>
              <w:jc w:val="center"/>
              <w:rPr>
                <w:rFonts w:ascii="Times New Roman" w:eastAsia="Times New Roman" w:hAnsi="Times New Roman" w:cs="Times New Roman"/>
                <w:b/>
                <w:color w:val="000000" w:themeColor="text1"/>
                <w:sz w:val="23"/>
                <w:szCs w:val="23"/>
              </w:rPr>
            </w:pPr>
            <w:r w:rsidRPr="00824BC0">
              <w:rPr>
                <w:rFonts w:ascii="Times New Roman" w:eastAsia="Times New Roman" w:hAnsi="Times New Roman" w:cs="Times New Roman"/>
                <w:b/>
                <w:color w:val="000000" w:themeColor="text1"/>
                <w:sz w:val="23"/>
                <w:szCs w:val="23"/>
              </w:rPr>
              <w:t>Settlement this period (January 1 to December 31, 2021)</w:t>
            </w:r>
          </w:p>
        </w:tc>
        <w:tc>
          <w:tcPr>
            <w:tcW w:w="1817" w:type="dxa"/>
            <w:vMerge w:val="restart"/>
            <w:shd w:val="clear" w:color="auto" w:fill="auto"/>
            <w:vAlign w:val="center"/>
          </w:tcPr>
          <w:p w14:paraId="2A857897" w14:textId="77777777" w:rsidR="007C45AD" w:rsidRPr="00824BC0" w:rsidRDefault="007C45AD" w:rsidP="006559E4">
            <w:pPr>
              <w:spacing w:after="0" w:line="240" w:lineRule="auto"/>
              <w:jc w:val="center"/>
              <w:rPr>
                <w:rFonts w:ascii="Times New Roman" w:eastAsia="Times New Roman" w:hAnsi="Times New Roman" w:cs="Times New Roman"/>
                <w:b/>
                <w:color w:val="000000" w:themeColor="text1"/>
                <w:sz w:val="23"/>
                <w:szCs w:val="23"/>
              </w:rPr>
            </w:pPr>
            <w:r w:rsidRPr="00824BC0">
              <w:rPr>
                <w:rFonts w:ascii="Times New Roman" w:eastAsia="Times New Roman" w:hAnsi="Times New Roman" w:cs="Times New Roman"/>
                <w:b/>
                <w:color w:val="000000" w:themeColor="text1"/>
                <w:sz w:val="23"/>
                <w:szCs w:val="23"/>
              </w:rPr>
              <w:t>Ending Balance</w:t>
            </w:r>
          </w:p>
          <w:p w14:paraId="5D6FF94B" w14:textId="77777777" w:rsidR="007C45AD" w:rsidRPr="00824BC0" w:rsidRDefault="007C45AD" w:rsidP="006559E4">
            <w:pPr>
              <w:spacing w:after="0" w:line="240" w:lineRule="auto"/>
              <w:jc w:val="center"/>
              <w:rPr>
                <w:rFonts w:ascii="Times New Roman" w:eastAsia="Times New Roman" w:hAnsi="Times New Roman" w:cs="Times New Roman"/>
                <w:b/>
                <w:color w:val="000000" w:themeColor="text1"/>
                <w:sz w:val="23"/>
                <w:szCs w:val="23"/>
              </w:rPr>
            </w:pPr>
            <w:r w:rsidRPr="00824BC0">
              <w:rPr>
                <w:rFonts w:ascii="Times New Roman" w:eastAsia="Times New Roman" w:hAnsi="Times New Roman" w:cs="Times New Roman"/>
                <w:b/>
                <w:color w:val="000000" w:themeColor="text1"/>
                <w:sz w:val="23"/>
                <w:szCs w:val="23"/>
              </w:rPr>
              <w:t>(As of December 31, 2021)</w:t>
            </w:r>
          </w:p>
        </w:tc>
      </w:tr>
      <w:tr w:rsidR="007C45AD" w:rsidRPr="00824BC0" w14:paraId="0F24A714" w14:textId="77777777" w:rsidTr="004B2CA8">
        <w:trPr>
          <w:jc w:val="center"/>
        </w:trPr>
        <w:tc>
          <w:tcPr>
            <w:tcW w:w="1135" w:type="dxa"/>
            <w:vMerge/>
            <w:shd w:val="clear" w:color="auto" w:fill="auto"/>
          </w:tcPr>
          <w:p w14:paraId="56306BB2" w14:textId="77777777" w:rsidR="007C45AD" w:rsidRPr="00824BC0" w:rsidRDefault="007C45AD" w:rsidP="006559E4">
            <w:pPr>
              <w:spacing w:after="0" w:line="240" w:lineRule="auto"/>
              <w:rPr>
                <w:rFonts w:ascii="Times New Roman" w:eastAsia="Times New Roman" w:hAnsi="Times New Roman" w:cs="Times New Roman"/>
                <w:color w:val="000000" w:themeColor="text1"/>
                <w:sz w:val="23"/>
                <w:szCs w:val="23"/>
              </w:rPr>
            </w:pPr>
          </w:p>
        </w:tc>
        <w:tc>
          <w:tcPr>
            <w:tcW w:w="1934" w:type="dxa"/>
            <w:vMerge/>
            <w:shd w:val="clear" w:color="auto" w:fill="auto"/>
          </w:tcPr>
          <w:p w14:paraId="1AA07457" w14:textId="77777777" w:rsidR="007C45AD" w:rsidRPr="00824BC0" w:rsidRDefault="007C45AD" w:rsidP="006559E4">
            <w:pPr>
              <w:spacing w:after="0" w:line="240" w:lineRule="auto"/>
              <w:rPr>
                <w:rFonts w:ascii="Times New Roman" w:eastAsia="Times New Roman" w:hAnsi="Times New Roman" w:cs="Times New Roman"/>
                <w:color w:val="000000" w:themeColor="text1"/>
                <w:sz w:val="23"/>
                <w:szCs w:val="23"/>
              </w:rPr>
            </w:pPr>
          </w:p>
        </w:tc>
        <w:tc>
          <w:tcPr>
            <w:tcW w:w="1737" w:type="dxa"/>
            <w:shd w:val="clear" w:color="auto" w:fill="auto"/>
          </w:tcPr>
          <w:p w14:paraId="189BFDEE" w14:textId="77777777" w:rsidR="007C45AD" w:rsidRPr="00824BC0" w:rsidRDefault="007C45AD" w:rsidP="006559E4">
            <w:pPr>
              <w:spacing w:after="0" w:line="240" w:lineRule="auto"/>
              <w:jc w:val="center"/>
              <w:rPr>
                <w:rFonts w:ascii="Times New Roman" w:eastAsia="Times New Roman" w:hAnsi="Times New Roman" w:cs="Times New Roman"/>
                <w:b/>
                <w:color w:val="000000" w:themeColor="text1"/>
                <w:sz w:val="23"/>
                <w:szCs w:val="23"/>
              </w:rPr>
            </w:pPr>
            <w:r w:rsidRPr="00824BC0">
              <w:rPr>
                <w:rFonts w:ascii="Times New Roman" w:eastAsia="Times New Roman" w:hAnsi="Times New Roman" w:cs="Times New Roman"/>
                <w:b/>
                <w:color w:val="000000" w:themeColor="text1"/>
                <w:sz w:val="23"/>
                <w:szCs w:val="23"/>
              </w:rPr>
              <w:t>NS/ND/NC</w:t>
            </w:r>
          </w:p>
        </w:tc>
        <w:tc>
          <w:tcPr>
            <w:tcW w:w="1882" w:type="dxa"/>
            <w:shd w:val="clear" w:color="auto" w:fill="auto"/>
          </w:tcPr>
          <w:p w14:paraId="33696283" w14:textId="77777777" w:rsidR="007C45AD" w:rsidRPr="00824BC0" w:rsidRDefault="007C45AD" w:rsidP="006559E4">
            <w:pPr>
              <w:spacing w:after="0" w:line="240" w:lineRule="auto"/>
              <w:jc w:val="center"/>
              <w:rPr>
                <w:rFonts w:ascii="Times New Roman" w:eastAsia="Times New Roman" w:hAnsi="Times New Roman" w:cs="Times New Roman"/>
                <w:b/>
                <w:color w:val="000000" w:themeColor="text1"/>
                <w:sz w:val="23"/>
                <w:szCs w:val="23"/>
              </w:rPr>
            </w:pPr>
            <w:r w:rsidRPr="00824BC0">
              <w:rPr>
                <w:rFonts w:ascii="Times New Roman" w:eastAsia="Times New Roman" w:hAnsi="Times New Roman" w:cs="Times New Roman"/>
                <w:b/>
                <w:color w:val="000000" w:themeColor="text1"/>
                <w:sz w:val="23"/>
                <w:szCs w:val="23"/>
              </w:rPr>
              <w:t>NSSDC</w:t>
            </w:r>
          </w:p>
        </w:tc>
        <w:tc>
          <w:tcPr>
            <w:tcW w:w="1817" w:type="dxa"/>
            <w:vMerge/>
            <w:shd w:val="clear" w:color="auto" w:fill="auto"/>
          </w:tcPr>
          <w:p w14:paraId="6CF50744" w14:textId="77777777" w:rsidR="007C45AD" w:rsidRPr="00824BC0" w:rsidRDefault="007C45AD" w:rsidP="006559E4">
            <w:pPr>
              <w:spacing w:after="0" w:line="240" w:lineRule="auto"/>
              <w:rPr>
                <w:rFonts w:ascii="Times New Roman" w:eastAsia="Times New Roman" w:hAnsi="Times New Roman" w:cs="Times New Roman"/>
                <w:color w:val="000000" w:themeColor="text1"/>
                <w:sz w:val="23"/>
                <w:szCs w:val="23"/>
              </w:rPr>
            </w:pPr>
          </w:p>
        </w:tc>
      </w:tr>
      <w:tr w:rsidR="007C45AD" w:rsidRPr="00824BC0" w14:paraId="1E81399D" w14:textId="77777777" w:rsidTr="004B2CA8">
        <w:trPr>
          <w:jc w:val="center"/>
        </w:trPr>
        <w:tc>
          <w:tcPr>
            <w:tcW w:w="1135" w:type="dxa"/>
            <w:shd w:val="clear" w:color="auto" w:fill="auto"/>
          </w:tcPr>
          <w:p w14:paraId="0C2A68FC" w14:textId="77777777" w:rsidR="007C45AD" w:rsidRPr="00824BC0" w:rsidRDefault="007C45AD" w:rsidP="006559E4">
            <w:pPr>
              <w:spacing w:after="0" w:line="240" w:lineRule="auto"/>
              <w:rPr>
                <w:rFonts w:ascii="Times New Roman" w:eastAsia="Times New Roman" w:hAnsi="Times New Roman" w:cs="Times New Roman"/>
                <w:color w:val="000000" w:themeColor="text1"/>
              </w:rPr>
            </w:pPr>
            <w:r w:rsidRPr="00824BC0">
              <w:rPr>
                <w:rFonts w:ascii="Times New Roman" w:eastAsia="Times New Roman" w:hAnsi="Times New Roman" w:cs="Times New Roman"/>
                <w:color w:val="000000" w:themeColor="text1"/>
              </w:rPr>
              <w:t>Notice of Suspension</w:t>
            </w:r>
          </w:p>
        </w:tc>
        <w:tc>
          <w:tcPr>
            <w:tcW w:w="1934" w:type="dxa"/>
            <w:shd w:val="clear" w:color="auto" w:fill="auto"/>
            <w:vAlign w:val="bottom"/>
          </w:tcPr>
          <w:p w14:paraId="520A404C" w14:textId="77777777" w:rsidR="007C45AD" w:rsidRPr="00824BC0" w:rsidRDefault="007C45AD" w:rsidP="006559E4">
            <w:pPr>
              <w:spacing w:after="0" w:line="240" w:lineRule="auto"/>
              <w:jc w:val="right"/>
              <w:rPr>
                <w:rFonts w:ascii="Times New Roman" w:eastAsia="Times New Roman" w:hAnsi="Times New Roman" w:cs="Times New Roman"/>
                <w:color w:val="000000" w:themeColor="text1"/>
                <w:sz w:val="23"/>
                <w:szCs w:val="23"/>
              </w:rPr>
            </w:pPr>
            <w:r w:rsidRPr="00824BC0">
              <w:rPr>
                <w:rFonts w:ascii="Times New Roman" w:eastAsia="Times New Roman" w:hAnsi="Times New Roman" w:cs="Times New Roman"/>
                <w:sz w:val="23"/>
                <w:szCs w:val="23"/>
                <w:lang w:val="en-US"/>
              </w:rPr>
              <w:t>₱                 0.00</w:t>
            </w:r>
          </w:p>
        </w:tc>
        <w:tc>
          <w:tcPr>
            <w:tcW w:w="1737" w:type="dxa"/>
            <w:shd w:val="clear" w:color="auto" w:fill="auto"/>
            <w:vAlign w:val="bottom"/>
          </w:tcPr>
          <w:p w14:paraId="6E5178A7" w14:textId="77777777" w:rsidR="007C45AD" w:rsidRPr="00824BC0" w:rsidRDefault="007C45AD" w:rsidP="006559E4">
            <w:pPr>
              <w:spacing w:after="0" w:line="240" w:lineRule="auto"/>
              <w:jc w:val="right"/>
              <w:rPr>
                <w:rFonts w:ascii="Times New Roman" w:eastAsia="Times New Roman" w:hAnsi="Times New Roman" w:cs="Times New Roman"/>
                <w:color w:val="000000" w:themeColor="text1"/>
                <w:sz w:val="23"/>
                <w:szCs w:val="23"/>
              </w:rPr>
            </w:pPr>
            <w:r w:rsidRPr="00824BC0">
              <w:rPr>
                <w:rFonts w:ascii="Times New Roman" w:eastAsia="Times New Roman" w:hAnsi="Times New Roman" w:cs="Times New Roman"/>
                <w:sz w:val="23"/>
                <w:szCs w:val="23"/>
                <w:lang w:val="en-US"/>
              </w:rPr>
              <w:t>₱              0.00</w:t>
            </w:r>
          </w:p>
        </w:tc>
        <w:tc>
          <w:tcPr>
            <w:tcW w:w="1882" w:type="dxa"/>
            <w:shd w:val="clear" w:color="auto" w:fill="auto"/>
            <w:vAlign w:val="bottom"/>
          </w:tcPr>
          <w:p w14:paraId="468E7EBA" w14:textId="77777777" w:rsidR="007C45AD" w:rsidRPr="00824BC0" w:rsidRDefault="007C45AD" w:rsidP="006559E4">
            <w:pPr>
              <w:spacing w:after="0" w:line="240" w:lineRule="auto"/>
              <w:jc w:val="right"/>
              <w:rPr>
                <w:rFonts w:ascii="Times New Roman" w:eastAsia="Times New Roman" w:hAnsi="Times New Roman" w:cs="Times New Roman"/>
                <w:color w:val="000000" w:themeColor="text1"/>
                <w:sz w:val="23"/>
                <w:szCs w:val="23"/>
              </w:rPr>
            </w:pPr>
            <w:r w:rsidRPr="00824BC0">
              <w:rPr>
                <w:rFonts w:ascii="Times New Roman" w:eastAsia="Times New Roman" w:hAnsi="Times New Roman" w:cs="Times New Roman"/>
                <w:sz w:val="23"/>
                <w:szCs w:val="23"/>
                <w:lang w:val="en-US"/>
              </w:rPr>
              <w:t>₱                 0.00</w:t>
            </w:r>
          </w:p>
        </w:tc>
        <w:tc>
          <w:tcPr>
            <w:tcW w:w="1817" w:type="dxa"/>
            <w:shd w:val="clear" w:color="auto" w:fill="auto"/>
            <w:vAlign w:val="bottom"/>
          </w:tcPr>
          <w:p w14:paraId="63A07A50" w14:textId="77777777" w:rsidR="007C45AD" w:rsidRPr="00824BC0" w:rsidRDefault="007C45AD" w:rsidP="006559E4">
            <w:pPr>
              <w:spacing w:after="0" w:line="240" w:lineRule="auto"/>
              <w:jc w:val="right"/>
              <w:rPr>
                <w:rFonts w:ascii="Times New Roman" w:eastAsia="Times New Roman" w:hAnsi="Times New Roman" w:cs="Times New Roman"/>
                <w:color w:val="000000" w:themeColor="text1"/>
                <w:sz w:val="23"/>
                <w:szCs w:val="23"/>
              </w:rPr>
            </w:pPr>
            <w:r w:rsidRPr="00824BC0">
              <w:rPr>
                <w:rFonts w:ascii="Times New Roman" w:eastAsia="Times New Roman" w:hAnsi="Times New Roman" w:cs="Times New Roman"/>
                <w:sz w:val="23"/>
                <w:szCs w:val="23"/>
                <w:lang w:val="en-US"/>
              </w:rPr>
              <w:t>₱                0.00</w:t>
            </w:r>
          </w:p>
        </w:tc>
      </w:tr>
      <w:tr w:rsidR="007C45AD" w:rsidRPr="00824BC0" w14:paraId="22C21953" w14:textId="77777777" w:rsidTr="004B2CA8">
        <w:trPr>
          <w:jc w:val="center"/>
        </w:trPr>
        <w:tc>
          <w:tcPr>
            <w:tcW w:w="1135" w:type="dxa"/>
            <w:shd w:val="clear" w:color="auto" w:fill="auto"/>
          </w:tcPr>
          <w:p w14:paraId="5E8BFAC0" w14:textId="77777777" w:rsidR="007C45AD" w:rsidRPr="00824BC0" w:rsidRDefault="007C45AD" w:rsidP="006559E4">
            <w:pPr>
              <w:spacing w:after="0" w:line="240" w:lineRule="auto"/>
              <w:rPr>
                <w:rFonts w:ascii="Times New Roman" w:eastAsia="Times New Roman" w:hAnsi="Times New Roman" w:cs="Times New Roman"/>
                <w:color w:val="000000" w:themeColor="text1"/>
              </w:rPr>
            </w:pPr>
            <w:r w:rsidRPr="00824BC0">
              <w:rPr>
                <w:rFonts w:ascii="Times New Roman" w:eastAsia="Times New Roman" w:hAnsi="Times New Roman" w:cs="Times New Roman"/>
                <w:color w:val="000000" w:themeColor="text1"/>
              </w:rPr>
              <w:t>Notice of Disallowance</w:t>
            </w:r>
          </w:p>
        </w:tc>
        <w:tc>
          <w:tcPr>
            <w:tcW w:w="1934" w:type="dxa"/>
            <w:shd w:val="clear" w:color="auto" w:fill="auto"/>
            <w:vAlign w:val="bottom"/>
          </w:tcPr>
          <w:p w14:paraId="3B1F72DD" w14:textId="667A0155" w:rsidR="007C45AD" w:rsidRPr="00824BC0" w:rsidRDefault="007C45AD" w:rsidP="006559E4">
            <w:pPr>
              <w:spacing w:after="0" w:line="240" w:lineRule="auto"/>
              <w:jc w:val="right"/>
              <w:rPr>
                <w:rFonts w:ascii="Times New Roman" w:eastAsia="Times New Roman" w:hAnsi="Times New Roman" w:cs="Times New Roman"/>
                <w:color w:val="000000" w:themeColor="text1"/>
                <w:sz w:val="23"/>
                <w:szCs w:val="23"/>
              </w:rPr>
            </w:pPr>
            <w:r w:rsidRPr="00824BC0">
              <w:rPr>
                <w:rFonts w:ascii="Times New Roman" w:eastAsia="Times New Roman" w:hAnsi="Times New Roman" w:cs="Times New Roman"/>
                <w:sz w:val="23"/>
                <w:szCs w:val="23"/>
                <w:lang w:val="en-US"/>
              </w:rPr>
              <w:t>2,117,944.19</w:t>
            </w:r>
          </w:p>
        </w:tc>
        <w:tc>
          <w:tcPr>
            <w:tcW w:w="1737" w:type="dxa"/>
            <w:shd w:val="clear" w:color="auto" w:fill="auto"/>
            <w:vAlign w:val="bottom"/>
          </w:tcPr>
          <w:p w14:paraId="40865D54" w14:textId="0D717CF6" w:rsidR="007C45AD" w:rsidRPr="00824BC0" w:rsidRDefault="007C45AD" w:rsidP="006559E4">
            <w:pPr>
              <w:spacing w:after="0" w:line="240" w:lineRule="auto"/>
              <w:jc w:val="right"/>
              <w:rPr>
                <w:rFonts w:ascii="Times New Roman" w:eastAsia="Times New Roman" w:hAnsi="Times New Roman" w:cs="Times New Roman"/>
                <w:color w:val="000000" w:themeColor="text1"/>
                <w:sz w:val="23"/>
                <w:szCs w:val="23"/>
              </w:rPr>
            </w:pPr>
            <w:r w:rsidRPr="00824BC0">
              <w:rPr>
                <w:rFonts w:ascii="Times New Roman" w:eastAsia="Times New Roman" w:hAnsi="Times New Roman" w:cs="Times New Roman"/>
                <w:color w:val="000000" w:themeColor="text1"/>
                <w:sz w:val="23"/>
                <w:szCs w:val="23"/>
              </w:rPr>
              <w:t>0.00</w:t>
            </w:r>
          </w:p>
        </w:tc>
        <w:tc>
          <w:tcPr>
            <w:tcW w:w="1882" w:type="dxa"/>
            <w:shd w:val="clear" w:color="auto" w:fill="auto"/>
            <w:vAlign w:val="bottom"/>
          </w:tcPr>
          <w:p w14:paraId="7DB73F92" w14:textId="08F6641D" w:rsidR="007C45AD" w:rsidRPr="00824BC0" w:rsidRDefault="003877AC" w:rsidP="006559E4">
            <w:pPr>
              <w:spacing w:after="0" w:line="240" w:lineRule="auto"/>
              <w:jc w:val="right"/>
              <w:rPr>
                <w:rFonts w:ascii="Times New Roman" w:eastAsia="Times New Roman" w:hAnsi="Times New Roman" w:cs="Times New Roman"/>
                <w:color w:val="000000" w:themeColor="text1"/>
                <w:sz w:val="23"/>
                <w:szCs w:val="23"/>
              </w:rPr>
            </w:pPr>
            <w:r w:rsidRPr="00824BC0">
              <w:rPr>
                <w:rFonts w:ascii="Times New Roman" w:eastAsia="Times New Roman" w:hAnsi="Times New Roman" w:cs="Times New Roman"/>
                <w:color w:val="000000" w:themeColor="text1"/>
                <w:sz w:val="23"/>
                <w:szCs w:val="23"/>
              </w:rPr>
              <w:t>466,362.81</w:t>
            </w:r>
          </w:p>
        </w:tc>
        <w:tc>
          <w:tcPr>
            <w:tcW w:w="1817" w:type="dxa"/>
            <w:shd w:val="clear" w:color="auto" w:fill="auto"/>
            <w:vAlign w:val="bottom"/>
          </w:tcPr>
          <w:p w14:paraId="7A0EBEFE" w14:textId="68624E00" w:rsidR="007C45AD" w:rsidRPr="00824BC0" w:rsidRDefault="007C45AD" w:rsidP="006559E4">
            <w:pPr>
              <w:spacing w:after="0" w:line="240" w:lineRule="auto"/>
              <w:jc w:val="right"/>
              <w:rPr>
                <w:rFonts w:ascii="Times New Roman" w:eastAsia="Times New Roman" w:hAnsi="Times New Roman" w:cs="Times New Roman"/>
                <w:color w:val="000000" w:themeColor="text1"/>
                <w:sz w:val="23"/>
                <w:szCs w:val="23"/>
              </w:rPr>
            </w:pPr>
            <w:r w:rsidRPr="00824BC0">
              <w:rPr>
                <w:rFonts w:ascii="Times New Roman" w:eastAsia="Times New Roman" w:hAnsi="Times New Roman" w:cs="Times New Roman"/>
                <w:color w:val="000000" w:themeColor="text1"/>
                <w:sz w:val="23"/>
                <w:szCs w:val="23"/>
              </w:rPr>
              <w:t>1,651,581.38</w:t>
            </w:r>
          </w:p>
        </w:tc>
      </w:tr>
      <w:tr w:rsidR="007C45AD" w:rsidRPr="00824BC0" w14:paraId="242D8CD4" w14:textId="77777777" w:rsidTr="004B2CA8">
        <w:trPr>
          <w:jc w:val="center"/>
        </w:trPr>
        <w:tc>
          <w:tcPr>
            <w:tcW w:w="1135" w:type="dxa"/>
            <w:shd w:val="clear" w:color="auto" w:fill="auto"/>
          </w:tcPr>
          <w:p w14:paraId="0B525328" w14:textId="77777777" w:rsidR="007C45AD" w:rsidRPr="00824BC0" w:rsidRDefault="007C45AD" w:rsidP="006559E4">
            <w:pPr>
              <w:spacing w:after="0" w:line="240" w:lineRule="auto"/>
              <w:rPr>
                <w:rFonts w:ascii="Times New Roman" w:eastAsia="Times New Roman" w:hAnsi="Times New Roman" w:cs="Times New Roman"/>
                <w:color w:val="000000" w:themeColor="text1"/>
              </w:rPr>
            </w:pPr>
            <w:r w:rsidRPr="00824BC0">
              <w:rPr>
                <w:rFonts w:ascii="Times New Roman" w:eastAsia="Times New Roman" w:hAnsi="Times New Roman" w:cs="Times New Roman"/>
                <w:color w:val="000000" w:themeColor="text1"/>
              </w:rPr>
              <w:t>Notice of Charge</w:t>
            </w:r>
          </w:p>
        </w:tc>
        <w:tc>
          <w:tcPr>
            <w:tcW w:w="1934" w:type="dxa"/>
            <w:shd w:val="clear" w:color="auto" w:fill="auto"/>
            <w:vAlign w:val="bottom"/>
          </w:tcPr>
          <w:p w14:paraId="704CDC60" w14:textId="77777777" w:rsidR="007C45AD" w:rsidRPr="00824BC0" w:rsidRDefault="007C45AD" w:rsidP="006559E4">
            <w:pPr>
              <w:spacing w:after="0" w:line="240" w:lineRule="auto"/>
              <w:jc w:val="right"/>
              <w:rPr>
                <w:rFonts w:ascii="Times New Roman" w:eastAsia="Times New Roman" w:hAnsi="Times New Roman" w:cs="Times New Roman"/>
                <w:color w:val="000000" w:themeColor="text1"/>
                <w:sz w:val="23"/>
                <w:szCs w:val="23"/>
              </w:rPr>
            </w:pPr>
            <w:r w:rsidRPr="00824BC0">
              <w:rPr>
                <w:rFonts w:ascii="Times New Roman" w:eastAsia="Times New Roman" w:hAnsi="Times New Roman" w:cs="Times New Roman"/>
                <w:sz w:val="23"/>
                <w:szCs w:val="23"/>
                <w:lang w:val="en-US"/>
              </w:rPr>
              <w:t>0.00</w:t>
            </w:r>
          </w:p>
        </w:tc>
        <w:tc>
          <w:tcPr>
            <w:tcW w:w="1737" w:type="dxa"/>
            <w:shd w:val="clear" w:color="auto" w:fill="auto"/>
            <w:vAlign w:val="bottom"/>
          </w:tcPr>
          <w:p w14:paraId="4FAF4D94" w14:textId="77777777" w:rsidR="007C45AD" w:rsidRPr="00824BC0" w:rsidRDefault="007C45AD" w:rsidP="006559E4">
            <w:pPr>
              <w:spacing w:after="0" w:line="240" w:lineRule="auto"/>
              <w:jc w:val="right"/>
              <w:rPr>
                <w:rFonts w:ascii="Times New Roman" w:eastAsia="Times New Roman" w:hAnsi="Times New Roman" w:cs="Times New Roman"/>
                <w:color w:val="000000" w:themeColor="text1"/>
                <w:sz w:val="23"/>
                <w:szCs w:val="23"/>
              </w:rPr>
            </w:pPr>
            <w:r w:rsidRPr="00824BC0">
              <w:rPr>
                <w:rFonts w:ascii="Times New Roman" w:eastAsia="Times New Roman" w:hAnsi="Times New Roman" w:cs="Times New Roman"/>
                <w:sz w:val="23"/>
                <w:szCs w:val="23"/>
                <w:lang w:val="en-US"/>
              </w:rPr>
              <w:t>0.00</w:t>
            </w:r>
          </w:p>
        </w:tc>
        <w:tc>
          <w:tcPr>
            <w:tcW w:w="1882" w:type="dxa"/>
            <w:shd w:val="clear" w:color="auto" w:fill="auto"/>
            <w:vAlign w:val="bottom"/>
          </w:tcPr>
          <w:p w14:paraId="1340069A" w14:textId="77777777" w:rsidR="007C45AD" w:rsidRPr="00824BC0" w:rsidRDefault="007C45AD" w:rsidP="006559E4">
            <w:pPr>
              <w:spacing w:after="0" w:line="240" w:lineRule="auto"/>
              <w:jc w:val="right"/>
              <w:rPr>
                <w:rFonts w:ascii="Times New Roman" w:eastAsia="Times New Roman" w:hAnsi="Times New Roman" w:cs="Times New Roman"/>
                <w:color w:val="000000" w:themeColor="text1"/>
                <w:sz w:val="23"/>
                <w:szCs w:val="23"/>
              </w:rPr>
            </w:pPr>
            <w:r w:rsidRPr="00824BC0">
              <w:rPr>
                <w:rFonts w:ascii="Times New Roman" w:eastAsia="Times New Roman" w:hAnsi="Times New Roman" w:cs="Times New Roman"/>
                <w:sz w:val="23"/>
                <w:szCs w:val="23"/>
                <w:lang w:val="en-US"/>
              </w:rPr>
              <w:t>0.00</w:t>
            </w:r>
          </w:p>
        </w:tc>
        <w:tc>
          <w:tcPr>
            <w:tcW w:w="1817" w:type="dxa"/>
            <w:shd w:val="clear" w:color="auto" w:fill="auto"/>
            <w:vAlign w:val="bottom"/>
          </w:tcPr>
          <w:p w14:paraId="1A4A01A3" w14:textId="77777777" w:rsidR="007C45AD" w:rsidRPr="00824BC0" w:rsidRDefault="007C45AD" w:rsidP="006559E4">
            <w:pPr>
              <w:spacing w:after="0" w:line="240" w:lineRule="auto"/>
              <w:jc w:val="right"/>
              <w:rPr>
                <w:rFonts w:ascii="Times New Roman" w:eastAsia="Times New Roman" w:hAnsi="Times New Roman" w:cs="Times New Roman"/>
                <w:color w:val="000000" w:themeColor="text1"/>
                <w:sz w:val="23"/>
                <w:szCs w:val="23"/>
              </w:rPr>
            </w:pPr>
            <w:r w:rsidRPr="00824BC0">
              <w:rPr>
                <w:rFonts w:ascii="Times New Roman" w:eastAsia="Times New Roman" w:hAnsi="Times New Roman" w:cs="Times New Roman"/>
                <w:sz w:val="23"/>
                <w:szCs w:val="23"/>
                <w:lang w:val="en-US"/>
              </w:rPr>
              <w:t>0.00</w:t>
            </w:r>
          </w:p>
        </w:tc>
      </w:tr>
      <w:tr w:rsidR="007C45AD" w:rsidRPr="00824BC0" w14:paraId="6029BA2A" w14:textId="77777777" w:rsidTr="004B2CA8">
        <w:trPr>
          <w:jc w:val="center"/>
        </w:trPr>
        <w:tc>
          <w:tcPr>
            <w:tcW w:w="1135" w:type="dxa"/>
            <w:shd w:val="clear" w:color="auto" w:fill="auto"/>
          </w:tcPr>
          <w:p w14:paraId="028066DA" w14:textId="77777777" w:rsidR="007C45AD" w:rsidRPr="00824BC0" w:rsidRDefault="007C45AD" w:rsidP="006559E4">
            <w:pPr>
              <w:spacing w:after="0" w:line="240" w:lineRule="auto"/>
              <w:rPr>
                <w:rFonts w:ascii="Times New Roman" w:eastAsia="Times New Roman" w:hAnsi="Times New Roman" w:cs="Times New Roman"/>
                <w:b/>
                <w:color w:val="000000" w:themeColor="text1"/>
                <w:sz w:val="23"/>
                <w:szCs w:val="23"/>
              </w:rPr>
            </w:pPr>
            <w:r w:rsidRPr="00824BC0">
              <w:rPr>
                <w:rFonts w:ascii="Times New Roman" w:eastAsia="Times New Roman" w:hAnsi="Times New Roman" w:cs="Times New Roman"/>
                <w:b/>
                <w:color w:val="000000" w:themeColor="text1"/>
                <w:sz w:val="23"/>
                <w:szCs w:val="23"/>
              </w:rPr>
              <w:t>Total</w:t>
            </w:r>
          </w:p>
        </w:tc>
        <w:tc>
          <w:tcPr>
            <w:tcW w:w="1934" w:type="dxa"/>
            <w:shd w:val="clear" w:color="auto" w:fill="auto"/>
            <w:vAlign w:val="bottom"/>
          </w:tcPr>
          <w:p w14:paraId="12F677C3" w14:textId="42725750" w:rsidR="007C45AD" w:rsidRPr="00824BC0" w:rsidRDefault="007C45AD" w:rsidP="006559E4">
            <w:pPr>
              <w:spacing w:after="0" w:line="240" w:lineRule="auto"/>
              <w:jc w:val="right"/>
              <w:rPr>
                <w:rFonts w:ascii="Times New Roman" w:eastAsia="Times New Roman" w:hAnsi="Times New Roman" w:cs="Times New Roman"/>
                <w:b/>
                <w:bCs/>
                <w:color w:val="000000" w:themeColor="text1"/>
                <w:sz w:val="23"/>
                <w:szCs w:val="23"/>
              </w:rPr>
            </w:pPr>
            <w:r w:rsidRPr="00824BC0">
              <w:rPr>
                <w:rFonts w:ascii="Times New Roman" w:eastAsia="Times New Roman" w:hAnsi="Times New Roman" w:cs="Times New Roman"/>
                <w:b/>
                <w:bCs/>
                <w:sz w:val="23"/>
                <w:szCs w:val="23"/>
                <w:lang w:val="en-US"/>
              </w:rPr>
              <w:t>₱ 2,117,944.19</w:t>
            </w:r>
          </w:p>
        </w:tc>
        <w:tc>
          <w:tcPr>
            <w:tcW w:w="1737" w:type="dxa"/>
            <w:shd w:val="clear" w:color="auto" w:fill="auto"/>
            <w:vAlign w:val="bottom"/>
          </w:tcPr>
          <w:p w14:paraId="145D4105" w14:textId="10D9BD2D" w:rsidR="007C45AD" w:rsidRPr="00824BC0" w:rsidRDefault="007C45AD" w:rsidP="006559E4">
            <w:pPr>
              <w:spacing w:after="0" w:line="240" w:lineRule="auto"/>
              <w:jc w:val="right"/>
              <w:rPr>
                <w:rFonts w:ascii="Times New Roman" w:eastAsia="Times New Roman" w:hAnsi="Times New Roman" w:cs="Times New Roman"/>
                <w:b/>
                <w:color w:val="000000" w:themeColor="text1"/>
                <w:sz w:val="23"/>
                <w:szCs w:val="23"/>
              </w:rPr>
            </w:pPr>
            <w:r w:rsidRPr="00824BC0">
              <w:rPr>
                <w:rFonts w:ascii="Times New Roman" w:eastAsia="Times New Roman" w:hAnsi="Times New Roman" w:cs="Times New Roman"/>
                <w:b/>
                <w:bCs/>
                <w:sz w:val="23"/>
                <w:szCs w:val="23"/>
                <w:lang w:val="en-US"/>
              </w:rPr>
              <w:t>₱               0.00</w:t>
            </w:r>
          </w:p>
        </w:tc>
        <w:tc>
          <w:tcPr>
            <w:tcW w:w="1882" w:type="dxa"/>
            <w:shd w:val="clear" w:color="auto" w:fill="auto"/>
            <w:vAlign w:val="bottom"/>
          </w:tcPr>
          <w:p w14:paraId="58942ABE" w14:textId="3C7953D8" w:rsidR="007C45AD" w:rsidRPr="00824BC0" w:rsidRDefault="007C45AD" w:rsidP="006559E4">
            <w:pPr>
              <w:spacing w:after="0" w:line="240" w:lineRule="auto"/>
              <w:jc w:val="right"/>
              <w:rPr>
                <w:rFonts w:ascii="Times New Roman" w:eastAsia="Times New Roman" w:hAnsi="Times New Roman" w:cs="Times New Roman"/>
                <w:b/>
                <w:color w:val="000000" w:themeColor="text1"/>
                <w:sz w:val="23"/>
                <w:szCs w:val="23"/>
              </w:rPr>
            </w:pPr>
            <w:r w:rsidRPr="00824BC0">
              <w:rPr>
                <w:rFonts w:ascii="Times New Roman" w:eastAsia="Times New Roman" w:hAnsi="Times New Roman" w:cs="Times New Roman"/>
                <w:b/>
                <w:bCs/>
                <w:sz w:val="23"/>
                <w:szCs w:val="23"/>
                <w:lang w:val="en-US"/>
              </w:rPr>
              <w:t xml:space="preserve">₱   </w:t>
            </w:r>
            <w:r w:rsidR="003877AC" w:rsidRPr="00824BC0">
              <w:rPr>
                <w:rFonts w:ascii="Times New Roman" w:eastAsia="Times New Roman" w:hAnsi="Times New Roman" w:cs="Times New Roman"/>
                <w:b/>
                <w:bCs/>
                <w:color w:val="000000" w:themeColor="text1"/>
                <w:sz w:val="23"/>
                <w:szCs w:val="23"/>
              </w:rPr>
              <w:t>466,362.81</w:t>
            </w:r>
          </w:p>
        </w:tc>
        <w:tc>
          <w:tcPr>
            <w:tcW w:w="1817" w:type="dxa"/>
            <w:shd w:val="clear" w:color="auto" w:fill="auto"/>
            <w:vAlign w:val="bottom"/>
          </w:tcPr>
          <w:p w14:paraId="47389144" w14:textId="0A2A29CD" w:rsidR="007C45AD" w:rsidRPr="00824BC0" w:rsidRDefault="003877AC" w:rsidP="006559E4">
            <w:pPr>
              <w:spacing w:after="0" w:line="240" w:lineRule="auto"/>
              <w:jc w:val="right"/>
              <w:rPr>
                <w:rFonts w:ascii="Times New Roman" w:eastAsia="Times New Roman" w:hAnsi="Times New Roman" w:cs="Times New Roman"/>
                <w:b/>
                <w:bCs/>
                <w:color w:val="000000" w:themeColor="text1"/>
                <w:sz w:val="23"/>
                <w:szCs w:val="23"/>
              </w:rPr>
            </w:pPr>
            <w:r w:rsidRPr="00824BC0">
              <w:rPr>
                <w:rFonts w:ascii="Times New Roman" w:eastAsia="Times New Roman" w:hAnsi="Times New Roman" w:cs="Times New Roman"/>
                <w:b/>
                <w:bCs/>
                <w:sz w:val="23"/>
                <w:szCs w:val="23"/>
                <w:lang w:val="en-US"/>
              </w:rPr>
              <w:t>₱</w:t>
            </w:r>
            <w:r w:rsidRPr="00824BC0">
              <w:rPr>
                <w:rFonts w:ascii="Times New Roman" w:eastAsia="Times New Roman" w:hAnsi="Times New Roman" w:cs="Times New Roman"/>
                <w:b/>
                <w:bCs/>
                <w:color w:val="000000" w:themeColor="text1"/>
                <w:sz w:val="23"/>
                <w:szCs w:val="23"/>
              </w:rPr>
              <w:t xml:space="preserve">  1,651,581.38</w:t>
            </w:r>
          </w:p>
        </w:tc>
      </w:tr>
    </w:tbl>
    <w:p w14:paraId="1C998445" w14:textId="77777777" w:rsidR="007C45AD" w:rsidRPr="00824BC0" w:rsidRDefault="007C45AD" w:rsidP="004B2CA8">
      <w:pPr>
        <w:spacing w:after="0" w:line="240" w:lineRule="auto"/>
        <w:jc w:val="both"/>
        <w:rPr>
          <w:bCs/>
          <w:color w:val="000000" w:themeColor="text1"/>
          <w:szCs w:val="24"/>
        </w:rPr>
      </w:pPr>
    </w:p>
    <w:p w14:paraId="0487C1C1" w14:textId="452F80C4" w:rsidR="00572A46" w:rsidRPr="00824BC0" w:rsidRDefault="00572A46" w:rsidP="004B2CA8">
      <w:pPr>
        <w:pStyle w:val="ListParagraph"/>
        <w:numPr>
          <w:ilvl w:val="0"/>
          <w:numId w:val="27"/>
        </w:numPr>
        <w:ind w:left="0" w:firstLine="0"/>
        <w:jc w:val="both"/>
        <w:rPr>
          <w:bCs/>
          <w:color w:val="000000" w:themeColor="text1"/>
          <w:szCs w:val="24"/>
        </w:rPr>
      </w:pPr>
      <w:r w:rsidRPr="00824BC0">
        <w:rPr>
          <w:bCs/>
          <w:color w:val="000000" w:themeColor="text1"/>
          <w:szCs w:val="24"/>
        </w:rPr>
        <w:t xml:space="preserve">Monitoring of payments made by the persons found liable in the audit disallowances revealed that only those retiring from </w:t>
      </w:r>
      <w:r w:rsidR="004B2CA8" w:rsidRPr="00824BC0">
        <w:rPr>
          <w:bCs/>
          <w:color w:val="000000" w:themeColor="text1"/>
          <w:szCs w:val="24"/>
        </w:rPr>
        <w:t>BA</w:t>
      </w:r>
      <w:r w:rsidRPr="00824BC0">
        <w:rPr>
          <w:bCs/>
          <w:color w:val="000000" w:themeColor="text1"/>
          <w:szCs w:val="24"/>
        </w:rPr>
        <w:t xml:space="preserve">SC were required to settle their accountabilities. </w:t>
      </w:r>
      <w:r w:rsidR="004B2CA8" w:rsidRPr="00824BC0">
        <w:rPr>
          <w:bCs/>
          <w:color w:val="000000" w:themeColor="text1"/>
          <w:szCs w:val="24"/>
        </w:rPr>
        <w:t>The outstanding balance of ₱</w:t>
      </w:r>
      <w:r w:rsidR="004B2CA8" w:rsidRPr="00824BC0">
        <w:rPr>
          <w:color w:val="000000" w:themeColor="text1"/>
          <w:szCs w:val="24"/>
        </w:rPr>
        <w:t>1,651,581.38 as</w:t>
      </w:r>
      <w:r w:rsidR="004B2CA8" w:rsidRPr="00824BC0">
        <w:rPr>
          <w:bCs/>
          <w:color w:val="000000" w:themeColor="text1"/>
          <w:szCs w:val="24"/>
        </w:rPr>
        <w:t xml:space="preserve"> of year-end pertains to the individual audit disallowances of persons currently employed with </w:t>
      </w:r>
      <w:r w:rsidR="00196742" w:rsidRPr="00824BC0">
        <w:rPr>
          <w:bCs/>
          <w:color w:val="000000" w:themeColor="text1"/>
          <w:szCs w:val="24"/>
        </w:rPr>
        <w:t xml:space="preserve">the College. </w:t>
      </w:r>
      <w:r w:rsidR="004B2CA8" w:rsidRPr="00824BC0">
        <w:rPr>
          <w:bCs/>
          <w:color w:val="000000" w:themeColor="text1"/>
          <w:szCs w:val="24"/>
        </w:rPr>
        <w:t xml:space="preserve"> </w:t>
      </w:r>
    </w:p>
    <w:p w14:paraId="1CA73157" w14:textId="77777777" w:rsidR="00572A46" w:rsidRPr="00824BC0" w:rsidRDefault="00572A46" w:rsidP="004B2CA8">
      <w:pPr>
        <w:pStyle w:val="ListParagraph"/>
        <w:ind w:left="0"/>
        <w:jc w:val="both"/>
        <w:rPr>
          <w:bCs/>
          <w:color w:val="000000" w:themeColor="text1"/>
          <w:szCs w:val="24"/>
        </w:rPr>
      </w:pPr>
    </w:p>
    <w:p w14:paraId="77608B50" w14:textId="7F8E3C00" w:rsidR="00572A46" w:rsidRPr="00824BC0" w:rsidRDefault="007C45AD" w:rsidP="004B2CA8">
      <w:pPr>
        <w:pStyle w:val="ListParagraph"/>
        <w:numPr>
          <w:ilvl w:val="0"/>
          <w:numId w:val="27"/>
        </w:numPr>
        <w:ind w:left="0" w:firstLine="0"/>
        <w:jc w:val="both"/>
        <w:rPr>
          <w:b/>
          <w:color w:val="000000" w:themeColor="text1"/>
          <w:szCs w:val="24"/>
        </w:rPr>
      </w:pPr>
      <w:r w:rsidRPr="00824BC0">
        <w:rPr>
          <w:bCs/>
          <w:color w:val="000000" w:themeColor="text1"/>
          <w:szCs w:val="24"/>
        </w:rPr>
        <w:t xml:space="preserve"> </w:t>
      </w:r>
      <w:r w:rsidR="00572A46" w:rsidRPr="00824BC0">
        <w:rPr>
          <w:b/>
          <w:color w:val="000000" w:themeColor="text1"/>
          <w:szCs w:val="24"/>
        </w:rPr>
        <w:t xml:space="preserve">We recommended that Management (1) require the immediate </w:t>
      </w:r>
      <w:r w:rsidR="00BB6133" w:rsidRPr="00824BC0">
        <w:rPr>
          <w:b/>
          <w:color w:val="000000" w:themeColor="text1"/>
          <w:szCs w:val="24"/>
        </w:rPr>
        <w:t xml:space="preserve">settlement </w:t>
      </w:r>
      <w:r w:rsidR="00572A46" w:rsidRPr="00824BC0">
        <w:rPr>
          <w:b/>
          <w:color w:val="000000" w:themeColor="text1"/>
          <w:szCs w:val="24"/>
        </w:rPr>
        <w:t>of the disallowed claims that have</w:t>
      </w:r>
      <w:r w:rsidR="00BB6133" w:rsidRPr="00824BC0">
        <w:rPr>
          <w:b/>
          <w:color w:val="000000" w:themeColor="text1"/>
          <w:szCs w:val="24"/>
        </w:rPr>
        <w:t xml:space="preserve"> become</w:t>
      </w:r>
      <w:r w:rsidR="00572A46" w:rsidRPr="00824BC0">
        <w:rPr>
          <w:b/>
          <w:color w:val="000000" w:themeColor="text1"/>
          <w:szCs w:val="24"/>
        </w:rPr>
        <w:t xml:space="preserve"> final and executory; and (2) instruct the officials</w:t>
      </w:r>
      <w:r w:rsidR="00BB6133" w:rsidRPr="00824BC0">
        <w:rPr>
          <w:b/>
          <w:color w:val="000000" w:themeColor="text1"/>
          <w:szCs w:val="24"/>
        </w:rPr>
        <w:t xml:space="preserve">/personnel </w:t>
      </w:r>
      <w:r w:rsidR="00572A46" w:rsidRPr="00824BC0">
        <w:rPr>
          <w:b/>
          <w:color w:val="000000" w:themeColor="text1"/>
          <w:szCs w:val="24"/>
        </w:rPr>
        <w:t xml:space="preserve">involved in the processing </w:t>
      </w:r>
      <w:r w:rsidR="00BB6133" w:rsidRPr="00824BC0">
        <w:rPr>
          <w:b/>
          <w:color w:val="000000" w:themeColor="text1"/>
          <w:szCs w:val="24"/>
        </w:rPr>
        <w:t xml:space="preserve">and certification/approval </w:t>
      </w:r>
      <w:r w:rsidR="00572A46" w:rsidRPr="00824BC0">
        <w:rPr>
          <w:b/>
          <w:color w:val="000000" w:themeColor="text1"/>
          <w:szCs w:val="24"/>
        </w:rPr>
        <w:t>of claims to</w:t>
      </w:r>
      <w:r w:rsidR="00BB6133" w:rsidRPr="00824BC0">
        <w:rPr>
          <w:b/>
          <w:color w:val="000000" w:themeColor="text1"/>
          <w:szCs w:val="24"/>
        </w:rPr>
        <w:t xml:space="preserve"> </w:t>
      </w:r>
      <w:r w:rsidR="00572A46" w:rsidRPr="00824BC0">
        <w:rPr>
          <w:b/>
          <w:color w:val="000000" w:themeColor="text1"/>
          <w:szCs w:val="24"/>
        </w:rPr>
        <w:t xml:space="preserve">exercise </w:t>
      </w:r>
      <w:r w:rsidR="00BB6133" w:rsidRPr="00824BC0">
        <w:rPr>
          <w:b/>
          <w:color w:val="000000" w:themeColor="text1"/>
          <w:szCs w:val="24"/>
        </w:rPr>
        <w:t>more prudence in ensuring</w:t>
      </w:r>
      <w:r w:rsidR="00351E85">
        <w:rPr>
          <w:b/>
          <w:color w:val="000000" w:themeColor="text1"/>
          <w:szCs w:val="24"/>
        </w:rPr>
        <w:t xml:space="preserve"> that</w:t>
      </w:r>
      <w:r w:rsidR="00BB6133" w:rsidRPr="00824BC0">
        <w:rPr>
          <w:b/>
          <w:color w:val="000000" w:themeColor="text1"/>
          <w:szCs w:val="24"/>
        </w:rPr>
        <w:t xml:space="preserve"> all financial </w:t>
      </w:r>
      <w:r w:rsidR="00572A46" w:rsidRPr="00824BC0">
        <w:rPr>
          <w:b/>
          <w:color w:val="000000" w:themeColor="text1"/>
          <w:szCs w:val="24"/>
        </w:rPr>
        <w:t xml:space="preserve">transactions comply with the existing </w:t>
      </w:r>
      <w:r w:rsidR="00BB6133" w:rsidRPr="00824BC0">
        <w:rPr>
          <w:b/>
          <w:color w:val="000000" w:themeColor="text1"/>
          <w:szCs w:val="24"/>
        </w:rPr>
        <w:t xml:space="preserve">laws, rules and </w:t>
      </w:r>
      <w:r w:rsidR="00572A46" w:rsidRPr="00824BC0">
        <w:rPr>
          <w:b/>
          <w:color w:val="000000" w:themeColor="text1"/>
          <w:szCs w:val="24"/>
        </w:rPr>
        <w:t xml:space="preserve">regulations to avoid suspensions and disallowances in audit. </w:t>
      </w:r>
    </w:p>
    <w:p w14:paraId="4F4E99FA" w14:textId="1575EFA1" w:rsidR="009B068B" w:rsidRPr="00824BC0" w:rsidRDefault="009B068B" w:rsidP="00B1011D">
      <w:pPr>
        <w:pStyle w:val="ListParagraph"/>
        <w:ind w:left="0"/>
        <w:contextualSpacing w:val="0"/>
        <w:jc w:val="both"/>
        <w:rPr>
          <w:bCs/>
          <w:iCs/>
          <w:szCs w:val="24"/>
        </w:rPr>
      </w:pPr>
    </w:p>
    <w:p w14:paraId="6876A4DD" w14:textId="00ACB542" w:rsidR="009B068B" w:rsidRPr="00824BC0" w:rsidRDefault="009B068B" w:rsidP="00B1011D">
      <w:pPr>
        <w:pStyle w:val="ListParagraph"/>
        <w:ind w:left="0"/>
        <w:contextualSpacing w:val="0"/>
        <w:jc w:val="both"/>
        <w:rPr>
          <w:bCs/>
          <w:i/>
          <w:szCs w:val="24"/>
        </w:rPr>
      </w:pPr>
      <w:r w:rsidRPr="00824BC0">
        <w:rPr>
          <w:bCs/>
          <w:i/>
          <w:szCs w:val="24"/>
        </w:rPr>
        <w:t>Management Comments:</w:t>
      </w:r>
    </w:p>
    <w:p w14:paraId="7CB24E42" w14:textId="5F713D66" w:rsidR="009B068B" w:rsidRPr="00824BC0" w:rsidRDefault="009B068B" w:rsidP="00B1011D">
      <w:pPr>
        <w:pStyle w:val="ListParagraph"/>
        <w:ind w:left="0"/>
        <w:contextualSpacing w:val="0"/>
        <w:jc w:val="both"/>
        <w:rPr>
          <w:bCs/>
          <w:iCs/>
          <w:szCs w:val="24"/>
        </w:rPr>
      </w:pPr>
    </w:p>
    <w:p w14:paraId="43A6A3D0" w14:textId="44CDA6F8" w:rsidR="004C4ADC" w:rsidRPr="00824BC0" w:rsidRDefault="009B068B" w:rsidP="00B1011D">
      <w:pPr>
        <w:pStyle w:val="ListParagraph"/>
        <w:numPr>
          <w:ilvl w:val="1"/>
          <w:numId w:val="22"/>
        </w:numPr>
        <w:ind w:left="0" w:firstLine="0"/>
        <w:contextualSpacing w:val="0"/>
        <w:jc w:val="both"/>
      </w:pPr>
      <w:bookmarkStart w:id="7" w:name="_Hlk100058454"/>
      <w:r w:rsidRPr="00824BC0">
        <w:t>During the exit conference, the College Accountant inquired whether the settlement of the disallowances can be made through installment payments. The Audit Team informed Management that a</w:t>
      </w:r>
      <w:r w:rsidR="00BB6133" w:rsidRPr="00824BC0">
        <w:t>n authority</w:t>
      </w:r>
      <w:r w:rsidRPr="00824BC0">
        <w:t xml:space="preserve"> s</w:t>
      </w:r>
      <w:r w:rsidR="00351E85">
        <w:t>hall</w:t>
      </w:r>
      <w:r w:rsidRPr="00824BC0">
        <w:t xml:space="preserve"> be </w:t>
      </w:r>
      <w:r w:rsidR="00BB6133" w:rsidRPr="00824BC0">
        <w:t>req</w:t>
      </w:r>
      <w:r w:rsidR="00351E85">
        <w:t>uested</w:t>
      </w:r>
      <w:r w:rsidRPr="00824BC0">
        <w:t xml:space="preserve"> from the Legal Services Sector</w:t>
      </w:r>
      <w:r w:rsidR="00086746" w:rsidRPr="00824BC0">
        <w:t xml:space="preserve"> (LSS)</w:t>
      </w:r>
      <w:r w:rsidRPr="00824BC0">
        <w:t xml:space="preserve"> of the Commission on Audit (COA)</w:t>
      </w:r>
      <w:r w:rsidR="00BB6133" w:rsidRPr="00824BC0">
        <w:t>, Central Office</w:t>
      </w:r>
      <w:r w:rsidRPr="00824BC0">
        <w:t xml:space="preserve"> before an installment payment scheme can be implemented.</w:t>
      </w:r>
      <w:bookmarkEnd w:id="7"/>
    </w:p>
    <w:sectPr w:rsidR="004C4ADC" w:rsidRPr="00824BC0" w:rsidSect="0030522D">
      <w:footerReference w:type="default" r:id="rId7"/>
      <w:pgSz w:w="12240" w:h="15840" w:code="1"/>
      <w:pgMar w:top="1440" w:right="1440" w:bottom="1440" w:left="2160" w:header="708" w:footer="708" w:gutter="0"/>
      <w:pgNumType w:start="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1A7AA" w14:textId="77777777" w:rsidR="00492162" w:rsidRDefault="00492162" w:rsidP="0030522D">
      <w:pPr>
        <w:spacing w:after="0" w:line="240" w:lineRule="auto"/>
      </w:pPr>
      <w:r>
        <w:separator/>
      </w:r>
    </w:p>
  </w:endnote>
  <w:endnote w:type="continuationSeparator" w:id="0">
    <w:p w14:paraId="5C77540D" w14:textId="77777777" w:rsidR="00492162" w:rsidRDefault="00492162" w:rsidP="00305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341734"/>
      <w:docPartObj>
        <w:docPartGallery w:val="Page Numbers (Bottom of Page)"/>
        <w:docPartUnique/>
      </w:docPartObj>
    </w:sdtPr>
    <w:sdtEndPr>
      <w:rPr>
        <w:rFonts w:ascii="Times New Roman" w:hAnsi="Times New Roman" w:cs="Times New Roman"/>
        <w:noProof/>
        <w:sz w:val="24"/>
        <w:szCs w:val="24"/>
      </w:rPr>
    </w:sdtEndPr>
    <w:sdtContent>
      <w:p w14:paraId="7580C0D8" w14:textId="352F61DB" w:rsidR="0030522D" w:rsidRPr="002F4DC3" w:rsidRDefault="0030522D">
        <w:pPr>
          <w:pStyle w:val="Footer"/>
          <w:jc w:val="center"/>
          <w:rPr>
            <w:rFonts w:ascii="Times New Roman" w:hAnsi="Times New Roman" w:cs="Times New Roman"/>
            <w:sz w:val="24"/>
            <w:szCs w:val="24"/>
          </w:rPr>
        </w:pPr>
        <w:r w:rsidRPr="002F4DC3">
          <w:rPr>
            <w:rFonts w:ascii="Times New Roman" w:hAnsi="Times New Roman" w:cs="Times New Roman"/>
            <w:sz w:val="24"/>
            <w:szCs w:val="24"/>
          </w:rPr>
          <w:fldChar w:fldCharType="begin"/>
        </w:r>
        <w:r w:rsidRPr="002F4DC3">
          <w:rPr>
            <w:rFonts w:ascii="Times New Roman" w:hAnsi="Times New Roman" w:cs="Times New Roman"/>
            <w:sz w:val="24"/>
            <w:szCs w:val="24"/>
          </w:rPr>
          <w:instrText xml:space="preserve"> PAGE   \* MERGEFORMAT </w:instrText>
        </w:r>
        <w:r w:rsidRPr="002F4DC3">
          <w:rPr>
            <w:rFonts w:ascii="Times New Roman" w:hAnsi="Times New Roman" w:cs="Times New Roman"/>
            <w:sz w:val="24"/>
            <w:szCs w:val="24"/>
          </w:rPr>
          <w:fldChar w:fldCharType="separate"/>
        </w:r>
        <w:r w:rsidR="007020B2" w:rsidRPr="002F4DC3">
          <w:rPr>
            <w:rFonts w:ascii="Times New Roman" w:hAnsi="Times New Roman" w:cs="Times New Roman"/>
            <w:noProof/>
            <w:sz w:val="24"/>
            <w:szCs w:val="24"/>
          </w:rPr>
          <w:t>42</w:t>
        </w:r>
        <w:r w:rsidRPr="002F4DC3">
          <w:rPr>
            <w:rFonts w:ascii="Times New Roman" w:hAnsi="Times New Roman" w:cs="Times New Roman"/>
            <w:noProof/>
            <w:sz w:val="24"/>
            <w:szCs w:val="24"/>
          </w:rPr>
          <w:fldChar w:fldCharType="end"/>
        </w:r>
      </w:p>
    </w:sdtContent>
  </w:sdt>
  <w:p w14:paraId="41D01C00" w14:textId="77777777" w:rsidR="0030522D" w:rsidRDefault="00305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A3DB4" w14:textId="77777777" w:rsidR="00492162" w:rsidRDefault="00492162" w:rsidP="0030522D">
      <w:pPr>
        <w:spacing w:after="0" w:line="240" w:lineRule="auto"/>
      </w:pPr>
      <w:r>
        <w:separator/>
      </w:r>
    </w:p>
  </w:footnote>
  <w:footnote w:type="continuationSeparator" w:id="0">
    <w:p w14:paraId="1287067F" w14:textId="77777777" w:rsidR="00492162" w:rsidRDefault="00492162" w:rsidP="00305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FA3"/>
    <w:multiLevelType w:val="multilevel"/>
    <w:tmpl w:val="EB000E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4862AE"/>
    <w:multiLevelType w:val="hybridMultilevel"/>
    <w:tmpl w:val="8196CA1E"/>
    <w:lvl w:ilvl="0" w:tplc="585C42D8">
      <w:start w:val="2"/>
      <w:numFmt w:val="lowerLetter"/>
      <w:lvlText w:val="(%1)"/>
      <w:lvlJc w:val="left"/>
      <w:pPr>
        <w:ind w:left="1080" w:hanging="360"/>
      </w:pPr>
      <w:rPr>
        <w:rFonts w:hint="default"/>
        <w:i/>
        <w:iCs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D761A0D"/>
    <w:multiLevelType w:val="hybridMultilevel"/>
    <w:tmpl w:val="02860BBE"/>
    <w:lvl w:ilvl="0" w:tplc="744621D8">
      <w:start w:val="1"/>
      <w:numFmt w:val="decimal"/>
      <w:lvlText w:val="12.%1"/>
      <w:lvlJc w:val="left"/>
      <w:pPr>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119194F"/>
    <w:multiLevelType w:val="hybridMultilevel"/>
    <w:tmpl w:val="D0C6FC74"/>
    <w:lvl w:ilvl="0" w:tplc="152CBC56">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40700B6"/>
    <w:multiLevelType w:val="hybridMultilevel"/>
    <w:tmpl w:val="DF2E67C6"/>
    <w:lvl w:ilvl="0" w:tplc="B90C961A">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15:restartNumberingAfterBreak="0">
    <w:nsid w:val="14F10DA6"/>
    <w:multiLevelType w:val="hybridMultilevel"/>
    <w:tmpl w:val="53649B9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9FF7726"/>
    <w:multiLevelType w:val="hybridMultilevel"/>
    <w:tmpl w:val="281CFFD0"/>
    <w:lvl w:ilvl="0" w:tplc="3F949226">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1A86315A"/>
    <w:multiLevelType w:val="hybridMultilevel"/>
    <w:tmpl w:val="2D42BEE4"/>
    <w:lvl w:ilvl="0" w:tplc="0062096A">
      <w:start w:val="1"/>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 w15:restartNumberingAfterBreak="0">
    <w:nsid w:val="1DEB6D55"/>
    <w:multiLevelType w:val="hybridMultilevel"/>
    <w:tmpl w:val="3EE4437C"/>
    <w:lvl w:ilvl="0" w:tplc="E6EA2CEA">
      <w:start w:val="1"/>
      <w:numFmt w:val="lowerLetter"/>
      <w:lvlText w:val="(%1)"/>
      <w:lvlJc w:val="left"/>
      <w:pPr>
        <w:ind w:left="1080" w:hanging="360"/>
      </w:pPr>
      <w:rPr>
        <w:rFonts w:hint="default"/>
        <w:i/>
        <w:iCs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21782F8B"/>
    <w:multiLevelType w:val="hybridMultilevel"/>
    <w:tmpl w:val="365CC952"/>
    <w:lvl w:ilvl="0" w:tplc="5C4653D8">
      <w:start w:val="5"/>
      <w:numFmt w:val="lowerLetter"/>
      <w:lvlText w:val="(%1)"/>
      <w:lvlJc w:val="left"/>
      <w:pPr>
        <w:ind w:left="108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2C0741ED"/>
    <w:multiLevelType w:val="hybridMultilevel"/>
    <w:tmpl w:val="DF3ED8EA"/>
    <w:lvl w:ilvl="0" w:tplc="B818EAD8">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15:restartNumberingAfterBreak="0">
    <w:nsid w:val="31682BD6"/>
    <w:multiLevelType w:val="hybridMultilevel"/>
    <w:tmpl w:val="D7C8C22E"/>
    <w:lvl w:ilvl="0" w:tplc="6F94E5C2">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2" w15:restartNumberingAfterBreak="0">
    <w:nsid w:val="330C0924"/>
    <w:multiLevelType w:val="hybridMultilevel"/>
    <w:tmpl w:val="A43E6E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34FC606D"/>
    <w:multiLevelType w:val="hybridMultilevel"/>
    <w:tmpl w:val="DBC0FBD2"/>
    <w:lvl w:ilvl="0" w:tplc="E836107A">
      <w:start w:val="6"/>
      <w:numFmt w:val="lowerLetter"/>
      <w:lvlText w:val="(%1)"/>
      <w:lvlJc w:val="left"/>
      <w:pPr>
        <w:ind w:left="108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36977FA3"/>
    <w:multiLevelType w:val="hybridMultilevel"/>
    <w:tmpl w:val="28A810D8"/>
    <w:lvl w:ilvl="0" w:tplc="C72EEB7A">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5" w15:restartNumberingAfterBreak="0">
    <w:nsid w:val="39ED7CF6"/>
    <w:multiLevelType w:val="hybridMultilevel"/>
    <w:tmpl w:val="B1F4670E"/>
    <w:lvl w:ilvl="0" w:tplc="324A9ACA">
      <w:start w:val="1"/>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6" w15:restartNumberingAfterBreak="0">
    <w:nsid w:val="3C0C53C5"/>
    <w:multiLevelType w:val="hybridMultilevel"/>
    <w:tmpl w:val="F858FFD0"/>
    <w:lvl w:ilvl="0" w:tplc="34090019">
      <w:start w:val="1"/>
      <w:numFmt w:val="lowerLetter"/>
      <w:lvlText w:val="%1."/>
      <w:lvlJc w:val="left"/>
      <w:pPr>
        <w:ind w:left="780" w:hanging="360"/>
      </w:pPr>
      <w:rPr>
        <w:rFonts w:hint="default"/>
      </w:rPr>
    </w:lvl>
    <w:lvl w:ilvl="1" w:tplc="34090019" w:tentative="1">
      <w:start w:val="1"/>
      <w:numFmt w:val="lowerLetter"/>
      <w:lvlText w:val="%2."/>
      <w:lvlJc w:val="left"/>
      <w:pPr>
        <w:ind w:left="1500" w:hanging="360"/>
      </w:pPr>
    </w:lvl>
    <w:lvl w:ilvl="2" w:tplc="3409001B" w:tentative="1">
      <w:start w:val="1"/>
      <w:numFmt w:val="lowerRoman"/>
      <w:lvlText w:val="%3."/>
      <w:lvlJc w:val="right"/>
      <w:pPr>
        <w:ind w:left="2220" w:hanging="180"/>
      </w:pPr>
    </w:lvl>
    <w:lvl w:ilvl="3" w:tplc="3409000F" w:tentative="1">
      <w:start w:val="1"/>
      <w:numFmt w:val="decimal"/>
      <w:lvlText w:val="%4."/>
      <w:lvlJc w:val="left"/>
      <w:pPr>
        <w:ind w:left="2940" w:hanging="360"/>
      </w:pPr>
    </w:lvl>
    <w:lvl w:ilvl="4" w:tplc="34090019" w:tentative="1">
      <w:start w:val="1"/>
      <w:numFmt w:val="lowerLetter"/>
      <w:lvlText w:val="%5."/>
      <w:lvlJc w:val="left"/>
      <w:pPr>
        <w:ind w:left="3660" w:hanging="360"/>
      </w:pPr>
    </w:lvl>
    <w:lvl w:ilvl="5" w:tplc="3409001B" w:tentative="1">
      <w:start w:val="1"/>
      <w:numFmt w:val="lowerRoman"/>
      <w:lvlText w:val="%6."/>
      <w:lvlJc w:val="right"/>
      <w:pPr>
        <w:ind w:left="4380" w:hanging="180"/>
      </w:pPr>
    </w:lvl>
    <w:lvl w:ilvl="6" w:tplc="3409000F" w:tentative="1">
      <w:start w:val="1"/>
      <w:numFmt w:val="decimal"/>
      <w:lvlText w:val="%7."/>
      <w:lvlJc w:val="left"/>
      <w:pPr>
        <w:ind w:left="5100" w:hanging="360"/>
      </w:pPr>
    </w:lvl>
    <w:lvl w:ilvl="7" w:tplc="34090019" w:tentative="1">
      <w:start w:val="1"/>
      <w:numFmt w:val="lowerLetter"/>
      <w:lvlText w:val="%8."/>
      <w:lvlJc w:val="left"/>
      <w:pPr>
        <w:ind w:left="5820" w:hanging="360"/>
      </w:pPr>
    </w:lvl>
    <w:lvl w:ilvl="8" w:tplc="3409001B" w:tentative="1">
      <w:start w:val="1"/>
      <w:numFmt w:val="lowerRoman"/>
      <w:lvlText w:val="%9."/>
      <w:lvlJc w:val="right"/>
      <w:pPr>
        <w:ind w:left="6540" w:hanging="180"/>
      </w:pPr>
    </w:lvl>
  </w:abstractNum>
  <w:abstractNum w:abstractNumId="17" w15:restartNumberingAfterBreak="0">
    <w:nsid w:val="3F073D5B"/>
    <w:multiLevelType w:val="hybridMultilevel"/>
    <w:tmpl w:val="93E2AC00"/>
    <w:lvl w:ilvl="0" w:tplc="2A4E6908">
      <w:start w:val="1"/>
      <w:numFmt w:val="lowerLetter"/>
      <w:lvlText w:val="(%1)"/>
      <w:lvlJc w:val="left"/>
      <w:pPr>
        <w:ind w:left="2265" w:hanging="465"/>
      </w:pPr>
      <w:rPr>
        <w:rFonts w:hint="default"/>
        <w:b w:val="0"/>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18" w15:restartNumberingAfterBreak="0">
    <w:nsid w:val="40AC3781"/>
    <w:multiLevelType w:val="hybridMultilevel"/>
    <w:tmpl w:val="2F3C587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40D61D3A"/>
    <w:multiLevelType w:val="multilevel"/>
    <w:tmpl w:val="FBDCDC6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CA2091"/>
    <w:multiLevelType w:val="hybridMultilevel"/>
    <w:tmpl w:val="1480F270"/>
    <w:lvl w:ilvl="0" w:tplc="61C0A0A4">
      <w:start w:val="1"/>
      <w:numFmt w:val="decimal"/>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1" w15:restartNumberingAfterBreak="0">
    <w:nsid w:val="48ED7840"/>
    <w:multiLevelType w:val="hybridMultilevel"/>
    <w:tmpl w:val="C72C79FA"/>
    <w:lvl w:ilvl="0" w:tplc="EFA061A0">
      <w:start w:val="3"/>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4CDC5637"/>
    <w:multiLevelType w:val="hybridMultilevel"/>
    <w:tmpl w:val="9484153A"/>
    <w:lvl w:ilvl="0" w:tplc="34090001">
      <w:start w:val="1"/>
      <w:numFmt w:val="bullet"/>
      <w:lvlText w:val=""/>
      <w:lvlJc w:val="left"/>
      <w:pPr>
        <w:ind w:left="4887" w:hanging="360"/>
      </w:pPr>
      <w:rPr>
        <w:rFonts w:ascii="Symbol" w:hAnsi="Symbol" w:hint="default"/>
      </w:rPr>
    </w:lvl>
    <w:lvl w:ilvl="1" w:tplc="34090003">
      <w:start w:val="1"/>
      <w:numFmt w:val="bullet"/>
      <w:lvlText w:val="o"/>
      <w:lvlJc w:val="left"/>
      <w:pPr>
        <w:ind w:left="5607" w:hanging="360"/>
      </w:pPr>
      <w:rPr>
        <w:rFonts w:ascii="Courier New" w:hAnsi="Courier New" w:cs="Courier New" w:hint="default"/>
      </w:rPr>
    </w:lvl>
    <w:lvl w:ilvl="2" w:tplc="34090005" w:tentative="1">
      <w:start w:val="1"/>
      <w:numFmt w:val="bullet"/>
      <w:lvlText w:val=""/>
      <w:lvlJc w:val="left"/>
      <w:pPr>
        <w:ind w:left="6327" w:hanging="360"/>
      </w:pPr>
      <w:rPr>
        <w:rFonts w:ascii="Wingdings" w:hAnsi="Wingdings" w:hint="default"/>
      </w:rPr>
    </w:lvl>
    <w:lvl w:ilvl="3" w:tplc="34090001" w:tentative="1">
      <w:start w:val="1"/>
      <w:numFmt w:val="bullet"/>
      <w:lvlText w:val=""/>
      <w:lvlJc w:val="left"/>
      <w:pPr>
        <w:ind w:left="7047" w:hanging="360"/>
      </w:pPr>
      <w:rPr>
        <w:rFonts w:ascii="Symbol" w:hAnsi="Symbol" w:hint="default"/>
      </w:rPr>
    </w:lvl>
    <w:lvl w:ilvl="4" w:tplc="34090003" w:tentative="1">
      <w:start w:val="1"/>
      <w:numFmt w:val="bullet"/>
      <w:lvlText w:val="o"/>
      <w:lvlJc w:val="left"/>
      <w:pPr>
        <w:ind w:left="7767" w:hanging="360"/>
      </w:pPr>
      <w:rPr>
        <w:rFonts w:ascii="Courier New" w:hAnsi="Courier New" w:cs="Courier New" w:hint="default"/>
      </w:rPr>
    </w:lvl>
    <w:lvl w:ilvl="5" w:tplc="34090005" w:tentative="1">
      <w:start w:val="1"/>
      <w:numFmt w:val="bullet"/>
      <w:lvlText w:val=""/>
      <w:lvlJc w:val="left"/>
      <w:pPr>
        <w:ind w:left="8487" w:hanging="360"/>
      </w:pPr>
      <w:rPr>
        <w:rFonts w:ascii="Wingdings" w:hAnsi="Wingdings" w:hint="default"/>
      </w:rPr>
    </w:lvl>
    <w:lvl w:ilvl="6" w:tplc="34090001" w:tentative="1">
      <w:start w:val="1"/>
      <w:numFmt w:val="bullet"/>
      <w:lvlText w:val=""/>
      <w:lvlJc w:val="left"/>
      <w:pPr>
        <w:ind w:left="9207" w:hanging="360"/>
      </w:pPr>
      <w:rPr>
        <w:rFonts w:ascii="Symbol" w:hAnsi="Symbol" w:hint="default"/>
      </w:rPr>
    </w:lvl>
    <w:lvl w:ilvl="7" w:tplc="34090003" w:tentative="1">
      <w:start w:val="1"/>
      <w:numFmt w:val="bullet"/>
      <w:lvlText w:val="o"/>
      <w:lvlJc w:val="left"/>
      <w:pPr>
        <w:ind w:left="9927" w:hanging="360"/>
      </w:pPr>
      <w:rPr>
        <w:rFonts w:ascii="Courier New" w:hAnsi="Courier New" w:cs="Courier New" w:hint="default"/>
      </w:rPr>
    </w:lvl>
    <w:lvl w:ilvl="8" w:tplc="34090005" w:tentative="1">
      <w:start w:val="1"/>
      <w:numFmt w:val="bullet"/>
      <w:lvlText w:val=""/>
      <w:lvlJc w:val="left"/>
      <w:pPr>
        <w:ind w:left="10647" w:hanging="360"/>
      </w:pPr>
      <w:rPr>
        <w:rFonts w:ascii="Wingdings" w:hAnsi="Wingdings" w:hint="default"/>
      </w:rPr>
    </w:lvl>
  </w:abstractNum>
  <w:abstractNum w:abstractNumId="23" w15:restartNumberingAfterBreak="0">
    <w:nsid w:val="52D27E11"/>
    <w:multiLevelType w:val="hybridMultilevel"/>
    <w:tmpl w:val="E4FA0642"/>
    <w:lvl w:ilvl="0" w:tplc="F72E326C">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4" w15:restartNumberingAfterBreak="0">
    <w:nsid w:val="57BE4D7F"/>
    <w:multiLevelType w:val="multilevel"/>
    <w:tmpl w:val="340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5" w15:restartNumberingAfterBreak="0">
    <w:nsid w:val="58B25A6C"/>
    <w:multiLevelType w:val="hybridMultilevel"/>
    <w:tmpl w:val="C09472D2"/>
    <w:lvl w:ilvl="0" w:tplc="18A25A26">
      <w:numFmt w:val="bullet"/>
      <w:lvlText w:val="-"/>
      <w:lvlJc w:val="left"/>
      <w:pPr>
        <w:ind w:left="720" w:hanging="360"/>
      </w:pPr>
      <w:rPr>
        <w:rFonts w:ascii="Times New Roman" w:eastAsia="Times New Roman"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59F31213"/>
    <w:multiLevelType w:val="hybridMultilevel"/>
    <w:tmpl w:val="2452D2DE"/>
    <w:lvl w:ilvl="0" w:tplc="0062096A">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7" w15:restartNumberingAfterBreak="0">
    <w:nsid w:val="5BAC102E"/>
    <w:multiLevelType w:val="hybridMultilevel"/>
    <w:tmpl w:val="B79E9F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BCD00FA"/>
    <w:multiLevelType w:val="hybridMultilevel"/>
    <w:tmpl w:val="833ADEC2"/>
    <w:lvl w:ilvl="0" w:tplc="744621D8">
      <w:start w:val="1"/>
      <w:numFmt w:val="decimal"/>
      <w:lvlText w:val="12.%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69215638"/>
    <w:multiLevelType w:val="hybridMultilevel"/>
    <w:tmpl w:val="3BA2397C"/>
    <w:lvl w:ilvl="0" w:tplc="12A23406">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6A6C0A13"/>
    <w:multiLevelType w:val="hybridMultilevel"/>
    <w:tmpl w:val="7D78F95C"/>
    <w:lvl w:ilvl="0" w:tplc="E7762C3A">
      <w:start w:val="1"/>
      <w:numFmt w:val="decimal"/>
      <w:lvlText w:val="(%1)"/>
      <w:lvlJc w:val="left"/>
      <w:pPr>
        <w:ind w:left="4320" w:hanging="360"/>
      </w:pPr>
      <w:rPr>
        <w:rFonts w:hint="default"/>
      </w:rPr>
    </w:lvl>
    <w:lvl w:ilvl="1" w:tplc="FFFFFFFF" w:tentative="1">
      <w:start w:val="1"/>
      <w:numFmt w:val="lowerLetter"/>
      <w:lvlText w:val="%2."/>
      <w:lvlJc w:val="left"/>
      <w:pPr>
        <w:ind w:left="5040" w:hanging="360"/>
      </w:pPr>
    </w:lvl>
    <w:lvl w:ilvl="2" w:tplc="FFFFFFFF" w:tentative="1">
      <w:start w:val="1"/>
      <w:numFmt w:val="lowerRoman"/>
      <w:lvlText w:val="%3."/>
      <w:lvlJc w:val="right"/>
      <w:pPr>
        <w:ind w:left="5760" w:hanging="180"/>
      </w:pPr>
    </w:lvl>
    <w:lvl w:ilvl="3" w:tplc="FFFFFFFF" w:tentative="1">
      <w:start w:val="1"/>
      <w:numFmt w:val="decimal"/>
      <w:lvlText w:val="%4."/>
      <w:lvlJc w:val="left"/>
      <w:pPr>
        <w:ind w:left="6480" w:hanging="360"/>
      </w:pPr>
    </w:lvl>
    <w:lvl w:ilvl="4" w:tplc="FFFFFFFF" w:tentative="1">
      <w:start w:val="1"/>
      <w:numFmt w:val="lowerLetter"/>
      <w:lvlText w:val="%5."/>
      <w:lvlJc w:val="left"/>
      <w:pPr>
        <w:ind w:left="7200" w:hanging="360"/>
      </w:pPr>
    </w:lvl>
    <w:lvl w:ilvl="5" w:tplc="FFFFFFFF" w:tentative="1">
      <w:start w:val="1"/>
      <w:numFmt w:val="lowerRoman"/>
      <w:lvlText w:val="%6."/>
      <w:lvlJc w:val="right"/>
      <w:pPr>
        <w:ind w:left="7920" w:hanging="180"/>
      </w:pPr>
    </w:lvl>
    <w:lvl w:ilvl="6" w:tplc="FFFFFFFF" w:tentative="1">
      <w:start w:val="1"/>
      <w:numFmt w:val="decimal"/>
      <w:lvlText w:val="%7."/>
      <w:lvlJc w:val="left"/>
      <w:pPr>
        <w:ind w:left="8640" w:hanging="360"/>
      </w:pPr>
    </w:lvl>
    <w:lvl w:ilvl="7" w:tplc="FFFFFFFF" w:tentative="1">
      <w:start w:val="1"/>
      <w:numFmt w:val="lowerLetter"/>
      <w:lvlText w:val="%8."/>
      <w:lvlJc w:val="left"/>
      <w:pPr>
        <w:ind w:left="9360" w:hanging="360"/>
      </w:pPr>
    </w:lvl>
    <w:lvl w:ilvl="8" w:tplc="FFFFFFFF" w:tentative="1">
      <w:start w:val="1"/>
      <w:numFmt w:val="lowerRoman"/>
      <w:lvlText w:val="%9."/>
      <w:lvlJc w:val="right"/>
      <w:pPr>
        <w:ind w:left="10080" w:hanging="180"/>
      </w:pPr>
    </w:lvl>
  </w:abstractNum>
  <w:abstractNum w:abstractNumId="31" w15:restartNumberingAfterBreak="0">
    <w:nsid w:val="6DA647D8"/>
    <w:multiLevelType w:val="hybridMultilevel"/>
    <w:tmpl w:val="97D8A7E8"/>
    <w:lvl w:ilvl="0" w:tplc="D3701328">
      <w:start w:val="1"/>
      <w:numFmt w:val="decimal"/>
      <w:lvlText w:val="8.%1"/>
      <w:lvlJc w:val="left"/>
      <w:pPr>
        <w:ind w:left="720" w:hanging="360"/>
      </w:pPr>
      <w:rPr>
        <w:rFonts w:hint="default"/>
        <w:b w:val="0"/>
        <w:i w:val="0"/>
        <w:color w:val="00000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78E40CDC"/>
    <w:multiLevelType w:val="hybridMultilevel"/>
    <w:tmpl w:val="3BA2397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BC51AE6"/>
    <w:multiLevelType w:val="hybridMultilevel"/>
    <w:tmpl w:val="55D2E654"/>
    <w:lvl w:ilvl="0" w:tplc="8E26BB5A">
      <w:start w:val="1"/>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4" w15:restartNumberingAfterBreak="0">
    <w:nsid w:val="7FE957DE"/>
    <w:multiLevelType w:val="hybridMultilevel"/>
    <w:tmpl w:val="5336D538"/>
    <w:lvl w:ilvl="0" w:tplc="34090001">
      <w:start w:val="1"/>
      <w:numFmt w:val="bullet"/>
      <w:lvlText w:val=""/>
      <w:lvlJc w:val="left"/>
      <w:pPr>
        <w:ind w:left="1730" w:hanging="360"/>
      </w:pPr>
      <w:rPr>
        <w:rFonts w:ascii="Symbol" w:hAnsi="Symbol" w:hint="default"/>
      </w:rPr>
    </w:lvl>
    <w:lvl w:ilvl="1" w:tplc="34090003" w:tentative="1">
      <w:start w:val="1"/>
      <w:numFmt w:val="bullet"/>
      <w:lvlText w:val="o"/>
      <w:lvlJc w:val="left"/>
      <w:pPr>
        <w:ind w:left="2450" w:hanging="360"/>
      </w:pPr>
      <w:rPr>
        <w:rFonts w:ascii="Courier New" w:hAnsi="Courier New" w:cs="Courier New" w:hint="default"/>
      </w:rPr>
    </w:lvl>
    <w:lvl w:ilvl="2" w:tplc="34090005" w:tentative="1">
      <w:start w:val="1"/>
      <w:numFmt w:val="bullet"/>
      <w:lvlText w:val=""/>
      <w:lvlJc w:val="left"/>
      <w:pPr>
        <w:ind w:left="3170" w:hanging="360"/>
      </w:pPr>
      <w:rPr>
        <w:rFonts w:ascii="Wingdings" w:hAnsi="Wingdings" w:hint="default"/>
      </w:rPr>
    </w:lvl>
    <w:lvl w:ilvl="3" w:tplc="34090001" w:tentative="1">
      <w:start w:val="1"/>
      <w:numFmt w:val="bullet"/>
      <w:lvlText w:val=""/>
      <w:lvlJc w:val="left"/>
      <w:pPr>
        <w:ind w:left="3890" w:hanging="360"/>
      </w:pPr>
      <w:rPr>
        <w:rFonts w:ascii="Symbol" w:hAnsi="Symbol" w:hint="default"/>
      </w:rPr>
    </w:lvl>
    <w:lvl w:ilvl="4" w:tplc="34090003" w:tentative="1">
      <w:start w:val="1"/>
      <w:numFmt w:val="bullet"/>
      <w:lvlText w:val="o"/>
      <w:lvlJc w:val="left"/>
      <w:pPr>
        <w:ind w:left="4610" w:hanging="360"/>
      </w:pPr>
      <w:rPr>
        <w:rFonts w:ascii="Courier New" w:hAnsi="Courier New" w:cs="Courier New" w:hint="default"/>
      </w:rPr>
    </w:lvl>
    <w:lvl w:ilvl="5" w:tplc="34090005" w:tentative="1">
      <w:start w:val="1"/>
      <w:numFmt w:val="bullet"/>
      <w:lvlText w:val=""/>
      <w:lvlJc w:val="left"/>
      <w:pPr>
        <w:ind w:left="5330" w:hanging="360"/>
      </w:pPr>
      <w:rPr>
        <w:rFonts w:ascii="Wingdings" w:hAnsi="Wingdings" w:hint="default"/>
      </w:rPr>
    </w:lvl>
    <w:lvl w:ilvl="6" w:tplc="34090001" w:tentative="1">
      <w:start w:val="1"/>
      <w:numFmt w:val="bullet"/>
      <w:lvlText w:val=""/>
      <w:lvlJc w:val="left"/>
      <w:pPr>
        <w:ind w:left="6050" w:hanging="360"/>
      </w:pPr>
      <w:rPr>
        <w:rFonts w:ascii="Symbol" w:hAnsi="Symbol" w:hint="default"/>
      </w:rPr>
    </w:lvl>
    <w:lvl w:ilvl="7" w:tplc="34090003" w:tentative="1">
      <w:start w:val="1"/>
      <w:numFmt w:val="bullet"/>
      <w:lvlText w:val="o"/>
      <w:lvlJc w:val="left"/>
      <w:pPr>
        <w:ind w:left="6770" w:hanging="360"/>
      </w:pPr>
      <w:rPr>
        <w:rFonts w:ascii="Courier New" w:hAnsi="Courier New" w:cs="Courier New" w:hint="default"/>
      </w:rPr>
    </w:lvl>
    <w:lvl w:ilvl="8" w:tplc="34090005" w:tentative="1">
      <w:start w:val="1"/>
      <w:numFmt w:val="bullet"/>
      <w:lvlText w:val=""/>
      <w:lvlJc w:val="left"/>
      <w:pPr>
        <w:ind w:left="7490" w:hanging="360"/>
      </w:pPr>
      <w:rPr>
        <w:rFonts w:ascii="Wingdings" w:hAnsi="Wingdings" w:hint="default"/>
      </w:rPr>
    </w:lvl>
  </w:abstractNum>
  <w:num w:numId="1" w16cid:durableId="2054960882">
    <w:abstractNumId w:val="22"/>
  </w:num>
  <w:num w:numId="2" w16cid:durableId="1937665904">
    <w:abstractNumId w:val="21"/>
  </w:num>
  <w:num w:numId="3" w16cid:durableId="329136034">
    <w:abstractNumId w:val="17"/>
  </w:num>
  <w:num w:numId="4" w16cid:durableId="1979976">
    <w:abstractNumId w:val="16"/>
  </w:num>
  <w:num w:numId="5" w16cid:durableId="163474098">
    <w:abstractNumId w:val="0"/>
  </w:num>
  <w:num w:numId="6" w16cid:durableId="1252161834">
    <w:abstractNumId w:val="14"/>
  </w:num>
  <w:num w:numId="7" w16cid:durableId="1695618493">
    <w:abstractNumId w:val="26"/>
  </w:num>
  <w:num w:numId="8" w16cid:durableId="1772625281">
    <w:abstractNumId w:val="10"/>
  </w:num>
  <w:num w:numId="9" w16cid:durableId="103616181">
    <w:abstractNumId w:val="30"/>
  </w:num>
  <w:num w:numId="10" w16cid:durableId="1141775110">
    <w:abstractNumId w:val="33"/>
  </w:num>
  <w:num w:numId="11" w16cid:durableId="241256823">
    <w:abstractNumId w:val="25"/>
  </w:num>
  <w:num w:numId="12" w16cid:durableId="966279608">
    <w:abstractNumId w:val="15"/>
  </w:num>
  <w:num w:numId="13" w16cid:durableId="587813012">
    <w:abstractNumId w:val="4"/>
  </w:num>
  <w:num w:numId="14" w16cid:durableId="818154733">
    <w:abstractNumId w:val="11"/>
  </w:num>
  <w:num w:numId="15" w16cid:durableId="439304723">
    <w:abstractNumId w:val="23"/>
  </w:num>
  <w:num w:numId="16" w16cid:durableId="918710767">
    <w:abstractNumId w:val="31"/>
  </w:num>
  <w:num w:numId="17" w16cid:durableId="1964115601">
    <w:abstractNumId w:val="6"/>
  </w:num>
  <w:num w:numId="18" w16cid:durableId="77943960">
    <w:abstractNumId w:val="3"/>
  </w:num>
  <w:num w:numId="19" w16cid:durableId="1637645029">
    <w:abstractNumId w:val="29"/>
  </w:num>
  <w:num w:numId="20" w16cid:durableId="704529039">
    <w:abstractNumId w:val="32"/>
  </w:num>
  <w:num w:numId="21" w16cid:durableId="529344377">
    <w:abstractNumId w:val="5"/>
  </w:num>
  <w:num w:numId="22" w16cid:durableId="1546067989">
    <w:abstractNumId w:val="19"/>
  </w:num>
  <w:num w:numId="23" w16cid:durableId="1352030497">
    <w:abstractNumId w:val="18"/>
  </w:num>
  <w:num w:numId="24" w16cid:durableId="1651860605">
    <w:abstractNumId w:val="12"/>
  </w:num>
  <w:num w:numId="25" w16cid:durableId="2098593904">
    <w:abstractNumId w:val="24"/>
  </w:num>
  <w:num w:numId="26" w16cid:durableId="168300806">
    <w:abstractNumId w:val="28"/>
  </w:num>
  <w:num w:numId="27" w16cid:durableId="353775062">
    <w:abstractNumId w:val="2"/>
  </w:num>
  <w:num w:numId="28" w16cid:durableId="634994648">
    <w:abstractNumId w:val="34"/>
  </w:num>
  <w:num w:numId="29" w16cid:durableId="1414013204">
    <w:abstractNumId w:val="20"/>
  </w:num>
  <w:num w:numId="30" w16cid:durableId="2039503809">
    <w:abstractNumId w:val="27"/>
  </w:num>
  <w:num w:numId="31" w16cid:durableId="1438712755">
    <w:abstractNumId w:val="1"/>
  </w:num>
  <w:num w:numId="32" w16cid:durableId="1237859195">
    <w:abstractNumId w:val="7"/>
  </w:num>
  <w:num w:numId="33" w16cid:durableId="1106654421">
    <w:abstractNumId w:val="8"/>
  </w:num>
  <w:num w:numId="34" w16cid:durableId="1235243961">
    <w:abstractNumId w:val="13"/>
  </w:num>
  <w:num w:numId="35" w16cid:durableId="18687151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E+m8+DG9/3T6FKNTrRBX2bbiYPp8iulv7VEx+NzcXLYxxIUNMi8F9lmKt0SYSwojhJdHoFwWzBaMOkER3Pswg==" w:salt="CyEvNNaUiFzqZivPz6ZSF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655"/>
    <w:rsid w:val="00007D2F"/>
    <w:rsid w:val="00014711"/>
    <w:rsid w:val="00024BF0"/>
    <w:rsid w:val="000702B7"/>
    <w:rsid w:val="00086746"/>
    <w:rsid w:val="00091572"/>
    <w:rsid w:val="00094B5D"/>
    <w:rsid w:val="00094F5C"/>
    <w:rsid w:val="000A74E8"/>
    <w:rsid w:val="000A78D6"/>
    <w:rsid w:val="000C41EB"/>
    <w:rsid w:val="000C52A4"/>
    <w:rsid w:val="000D6661"/>
    <w:rsid w:val="000E302E"/>
    <w:rsid w:val="00100AFA"/>
    <w:rsid w:val="0011258A"/>
    <w:rsid w:val="00113EBF"/>
    <w:rsid w:val="0012110F"/>
    <w:rsid w:val="00123904"/>
    <w:rsid w:val="00133E63"/>
    <w:rsid w:val="001809A5"/>
    <w:rsid w:val="00183488"/>
    <w:rsid w:val="00196742"/>
    <w:rsid w:val="001F5DED"/>
    <w:rsid w:val="001F7655"/>
    <w:rsid w:val="002747FB"/>
    <w:rsid w:val="0027565A"/>
    <w:rsid w:val="002A30DE"/>
    <w:rsid w:val="002A54D5"/>
    <w:rsid w:val="002E0FE7"/>
    <w:rsid w:val="002F1CC6"/>
    <w:rsid w:val="002F4DC3"/>
    <w:rsid w:val="002F52FC"/>
    <w:rsid w:val="0030522D"/>
    <w:rsid w:val="0031401F"/>
    <w:rsid w:val="00351E85"/>
    <w:rsid w:val="003532F6"/>
    <w:rsid w:val="00362BDC"/>
    <w:rsid w:val="003803AD"/>
    <w:rsid w:val="00382419"/>
    <w:rsid w:val="00386113"/>
    <w:rsid w:val="003877AC"/>
    <w:rsid w:val="003A1C51"/>
    <w:rsid w:val="003A5945"/>
    <w:rsid w:val="003B15E9"/>
    <w:rsid w:val="003F2DFB"/>
    <w:rsid w:val="003F4525"/>
    <w:rsid w:val="003F61E5"/>
    <w:rsid w:val="00441E34"/>
    <w:rsid w:val="00447E0B"/>
    <w:rsid w:val="004648BE"/>
    <w:rsid w:val="0048015F"/>
    <w:rsid w:val="00481643"/>
    <w:rsid w:val="0048616D"/>
    <w:rsid w:val="00492162"/>
    <w:rsid w:val="00495410"/>
    <w:rsid w:val="004B2CA8"/>
    <w:rsid w:val="004C0E25"/>
    <w:rsid w:val="004C4ADC"/>
    <w:rsid w:val="004E6F6A"/>
    <w:rsid w:val="0050514F"/>
    <w:rsid w:val="00506887"/>
    <w:rsid w:val="00533C06"/>
    <w:rsid w:val="005348B0"/>
    <w:rsid w:val="00536C90"/>
    <w:rsid w:val="00540664"/>
    <w:rsid w:val="0054426E"/>
    <w:rsid w:val="005643D9"/>
    <w:rsid w:val="00572A46"/>
    <w:rsid w:val="005778F5"/>
    <w:rsid w:val="005B3C88"/>
    <w:rsid w:val="005C5DA3"/>
    <w:rsid w:val="005E4E88"/>
    <w:rsid w:val="005E541F"/>
    <w:rsid w:val="006024A3"/>
    <w:rsid w:val="0063161D"/>
    <w:rsid w:val="00632670"/>
    <w:rsid w:val="00656AA4"/>
    <w:rsid w:val="006577A9"/>
    <w:rsid w:val="00661A59"/>
    <w:rsid w:val="006829D8"/>
    <w:rsid w:val="006D1EBC"/>
    <w:rsid w:val="006F0B99"/>
    <w:rsid w:val="006F5D33"/>
    <w:rsid w:val="00700F6D"/>
    <w:rsid w:val="007020B2"/>
    <w:rsid w:val="00724259"/>
    <w:rsid w:val="00733973"/>
    <w:rsid w:val="00736E5E"/>
    <w:rsid w:val="00742B6D"/>
    <w:rsid w:val="00742B87"/>
    <w:rsid w:val="007861C7"/>
    <w:rsid w:val="007A3880"/>
    <w:rsid w:val="007B5E5C"/>
    <w:rsid w:val="007C45AD"/>
    <w:rsid w:val="007E4891"/>
    <w:rsid w:val="007F7EEB"/>
    <w:rsid w:val="008017C3"/>
    <w:rsid w:val="00824BC0"/>
    <w:rsid w:val="0084730C"/>
    <w:rsid w:val="00876496"/>
    <w:rsid w:val="00880F38"/>
    <w:rsid w:val="00883DB8"/>
    <w:rsid w:val="0089320F"/>
    <w:rsid w:val="008A485B"/>
    <w:rsid w:val="008C028D"/>
    <w:rsid w:val="008C4C5D"/>
    <w:rsid w:val="008C69CD"/>
    <w:rsid w:val="008D082E"/>
    <w:rsid w:val="008F61FC"/>
    <w:rsid w:val="009648BF"/>
    <w:rsid w:val="009B068B"/>
    <w:rsid w:val="009D7477"/>
    <w:rsid w:val="009E1C2C"/>
    <w:rsid w:val="009F7DCA"/>
    <w:rsid w:val="00A01080"/>
    <w:rsid w:val="00A072B5"/>
    <w:rsid w:val="00A2118F"/>
    <w:rsid w:val="00A233D1"/>
    <w:rsid w:val="00A37EB4"/>
    <w:rsid w:val="00A54FB3"/>
    <w:rsid w:val="00A55BF5"/>
    <w:rsid w:val="00A609CC"/>
    <w:rsid w:val="00A6401D"/>
    <w:rsid w:val="00A744E2"/>
    <w:rsid w:val="00A8332E"/>
    <w:rsid w:val="00A94951"/>
    <w:rsid w:val="00AB2C63"/>
    <w:rsid w:val="00AE5EDF"/>
    <w:rsid w:val="00B04918"/>
    <w:rsid w:val="00B04D1B"/>
    <w:rsid w:val="00B1011D"/>
    <w:rsid w:val="00B370E6"/>
    <w:rsid w:val="00B74571"/>
    <w:rsid w:val="00BA575D"/>
    <w:rsid w:val="00BB15B2"/>
    <w:rsid w:val="00BB6133"/>
    <w:rsid w:val="00C23CF8"/>
    <w:rsid w:val="00C553B5"/>
    <w:rsid w:val="00C6257F"/>
    <w:rsid w:val="00C62963"/>
    <w:rsid w:val="00C66595"/>
    <w:rsid w:val="00C93787"/>
    <w:rsid w:val="00CA43B0"/>
    <w:rsid w:val="00CB03DE"/>
    <w:rsid w:val="00CC420D"/>
    <w:rsid w:val="00CF7DE6"/>
    <w:rsid w:val="00D005ED"/>
    <w:rsid w:val="00D051E8"/>
    <w:rsid w:val="00D4597D"/>
    <w:rsid w:val="00D50B52"/>
    <w:rsid w:val="00D65987"/>
    <w:rsid w:val="00D84790"/>
    <w:rsid w:val="00DF2CDF"/>
    <w:rsid w:val="00E06499"/>
    <w:rsid w:val="00E357BF"/>
    <w:rsid w:val="00E63079"/>
    <w:rsid w:val="00E72A07"/>
    <w:rsid w:val="00EE7908"/>
    <w:rsid w:val="00EF0D8A"/>
    <w:rsid w:val="00F2508A"/>
    <w:rsid w:val="00F3231D"/>
    <w:rsid w:val="00F34699"/>
    <w:rsid w:val="00F51283"/>
    <w:rsid w:val="00F87199"/>
    <w:rsid w:val="00F875EF"/>
    <w:rsid w:val="00FB393E"/>
    <w:rsid w:val="00FB4E63"/>
    <w:rsid w:val="00FB76DF"/>
    <w:rsid w:val="00FE6D6A"/>
    <w:rsid w:val="00FF125F"/>
    <w:rsid w:val="00FF29C9"/>
  </w:rsids>
  <m:mathPr>
    <m:mathFont m:val="Cambria Math"/>
    <m:brkBin m:val="before"/>
    <m:brkBinSub m:val="--"/>
    <m:smallFrac m:val="0"/>
    <m:dispDef/>
    <m:lMargin m:val="0"/>
    <m:rMargin m:val="0"/>
    <m:defJc m:val="centerGroup"/>
    <m:wrapIndent m:val="1440"/>
    <m:intLim m:val="subSup"/>
    <m:naryLim m:val="undOvr"/>
  </m:mathPr>
  <w:themeFontLang w:val="en-PH"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A35A"/>
  <w15:chartTrackingRefBased/>
  <w15:docId w15:val="{2FB17780-11AF-48DB-B40F-6A79E80D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655"/>
  </w:style>
  <w:style w:type="paragraph" w:styleId="Heading1">
    <w:name w:val="heading 1"/>
    <w:basedOn w:val="Normal"/>
    <w:next w:val="Normal"/>
    <w:link w:val="Heading1Char"/>
    <w:uiPriority w:val="9"/>
    <w:qFormat/>
    <w:rsid w:val="007F7E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3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sume Title,List Paragraph1"/>
    <w:basedOn w:val="Normal"/>
    <w:link w:val="ListParagraphChar"/>
    <w:uiPriority w:val="34"/>
    <w:qFormat/>
    <w:rsid w:val="00A8332E"/>
    <w:pPr>
      <w:spacing w:after="0" w:line="240" w:lineRule="auto"/>
      <w:ind w:left="720"/>
      <w:contextualSpacing/>
    </w:pPr>
    <w:rPr>
      <w:rFonts w:ascii="Times New Roman" w:eastAsia="Times New Roman" w:hAnsi="Times New Roman" w:cs="Times New Roman"/>
      <w:sz w:val="24"/>
      <w:szCs w:val="20"/>
      <w:lang w:val="en-US"/>
    </w:rPr>
  </w:style>
  <w:style w:type="character" w:customStyle="1" w:styleId="ListParagraphChar">
    <w:name w:val="List Paragraph Char"/>
    <w:aliases w:val="Resume Title Char,List Paragraph1 Char"/>
    <w:link w:val="ListParagraph"/>
    <w:uiPriority w:val="34"/>
    <w:locked/>
    <w:rsid w:val="008A485B"/>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724259"/>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724259"/>
    <w:rPr>
      <w:rFonts w:ascii="Segoe UI" w:eastAsia="Times New Roman" w:hAnsi="Segoe UI" w:cs="Segoe UI"/>
      <w:sz w:val="18"/>
      <w:szCs w:val="18"/>
    </w:rPr>
  </w:style>
  <w:style w:type="paragraph" w:customStyle="1" w:styleId="Body">
    <w:name w:val="Body"/>
    <w:rsid w:val="00A54FB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PH"/>
    </w:rPr>
  </w:style>
  <w:style w:type="paragraph" w:styleId="NoSpacing">
    <w:name w:val="No Spacing"/>
    <w:link w:val="NoSpacingChar"/>
    <w:uiPriority w:val="1"/>
    <w:qFormat/>
    <w:rsid w:val="008C4C5D"/>
    <w:pPr>
      <w:spacing w:after="0" w:line="240" w:lineRule="auto"/>
    </w:pPr>
    <w:rPr>
      <w:rFonts w:ascii="Calibri" w:eastAsia="Calibri" w:hAnsi="Calibri" w:cs="Times New Roman"/>
    </w:rPr>
  </w:style>
  <w:style w:type="character" w:customStyle="1" w:styleId="NoSpacingChar">
    <w:name w:val="No Spacing Char"/>
    <w:link w:val="NoSpacing"/>
    <w:uiPriority w:val="1"/>
    <w:rsid w:val="008C4C5D"/>
    <w:rPr>
      <w:rFonts w:ascii="Calibri" w:eastAsia="Calibri" w:hAnsi="Calibri" w:cs="Times New Roman"/>
    </w:rPr>
  </w:style>
  <w:style w:type="character" w:customStyle="1" w:styleId="Heading1Char">
    <w:name w:val="Heading 1 Char"/>
    <w:basedOn w:val="DefaultParagraphFont"/>
    <w:link w:val="Heading1"/>
    <w:uiPriority w:val="9"/>
    <w:rsid w:val="007F7EE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05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22D"/>
  </w:style>
  <w:style w:type="paragraph" w:styleId="Footer">
    <w:name w:val="footer"/>
    <w:basedOn w:val="Normal"/>
    <w:link w:val="FooterChar"/>
    <w:uiPriority w:val="99"/>
    <w:unhideWhenUsed/>
    <w:rsid w:val="00305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924251">
      <w:bodyDiv w:val="1"/>
      <w:marLeft w:val="0"/>
      <w:marRight w:val="0"/>
      <w:marTop w:val="0"/>
      <w:marBottom w:val="0"/>
      <w:divBdr>
        <w:top w:val="none" w:sz="0" w:space="0" w:color="auto"/>
        <w:left w:val="none" w:sz="0" w:space="0" w:color="auto"/>
        <w:bottom w:val="none" w:sz="0" w:space="0" w:color="auto"/>
        <w:right w:val="none" w:sz="0" w:space="0" w:color="auto"/>
      </w:divBdr>
    </w:div>
    <w:div w:id="856042134">
      <w:bodyDiv w:val="1"/>
      <w:marLeft w:val="0"/>
      <w:marRight w:val="0"/>
      <w:marTop w:val="0"/>
      <w:marBottom w:val="0"/>
      <w:divBdr>
        <w:top w:val="none" w:sz="0" w:space="0" w:color="auto"/>
        <w:left w:val="none" w:sz="0" w:space="0" w:color="auto"/>
        <w:bottom w:val="none" w:sz="0" w:space="0" w:color="auto"/>
        <w:right w:val="none" w:sz="0" w:space="0" w:color="auto"/>
      </w:divBdr>
    </w:div>
    <w:div w:id="932082453">
      <w:bodyDiv w:val="1"/>
      <w:marLeft w:val="0"/>
      <w:marRight w:val="0"/>
      <w:marTop w:val="0"/>
      <w:marBottom w:val="0"/>
      <w:divBdr>
        <w:top w:val="none" w:sz="0" w:space="0" w:color="auto"/>
        <w:left w:val="none" w:sz="0" w:space="0" w:color="auto"/>
        <w:bottom w:val="none" w:sz="0" w:space="0" w:color="auto"/>
        <w:right w:val="none" w:sz="0" w:space="0" w:color="auto"/>
      </w:divBdr>
    </w:div>
    <w:div w:id="1230580711">
      <w:bodyDiv w:val="1"/>
      <w:marLeft w:val="0"/>
      <w:marRight w:val="0"/>
      <w:marTop w:val="0"/>
      <w:marBottom w:val="0"/>
      <w:divBdr>
        <w:top w:val="none" w:sz="0" w:space="0" w:color="auto"/>
        <w:left w:val="none" w:sz="0" w:space="0" w:color="auto"/>
        <w:bottom w:val="none" w:sz="0" w:space="0" w:color="auto"/>
        <w:right w:val="none" w:sz="0" w:space="0" w:color="auto"/>
      </w:divBdr>
    </w:div>
    <w:div w:id="1233389971">
      <w:bodyDiv w:val="1"/>
      <w:marLeft w:val="0"/>
      <w:marRight w:val="0"/>
      <w:marTop w:val="0"/>
      <w:marBottom w:val="0"/>
      <w:divBdr>
        <w:top w:val="none" w:sz="0" w:space="0" w:color="auto"/>
        <w:left w:val="none" w:sz="0" w:space="0" w:color="auto"/>
        <w:bottom w:val="none" w:sz="0" w:space="0" w:color="auto"/>
        <w:right w:val="none" w:sz="0" w:space="0" w:color="auto"/>
      </w:divBdr>
    </w:div>
    <w:div w:id="1267274305">
      <w:bodyDiv w:val="1"/>
      <w:marLeft w:val="0"/>
      <w:marRight w:val="0"/>
      <w:marTop w:val="0"/>
      <w:marBottom w:val="0"/>
      <w:divBdr>
        <w:top w:val="none" w:sz="0" w:space="0" w:color="auto"/>
        <w:left w:val="none" w:sz="0" w:space="0" w:color="auto"/>
        <w:bottom w:val="none" w:sz="0" w:space="0" w:color="auto"/>
        <w:right w:val="none" w:sz="0" w:space="0" w:color="auto"/>
      </w:divBdr>
    </w:div>
    <w:div w:id="1325209279">
      <w:bodyDiv w:val="1"/>
      <w:marLeft w:val="0"/>
      <w:marRight w:val="0"/>
      <w:marTop w:val="0"/>
      <w:marBottom w:val="0"/>
      <w:divBdr>
        <w:top w:val="none" w:sz="0" w:space="0" w:color="auto"/>
        <w:left w:val="none" w:sz="0" w:space="0" w:color="auto"/>
        <w:bottom w:val="none" w:sz="0" w:space="0" w:color="auto"/>
        <w:right w:val="none" w:sz="0" w:space="0" w:color="auto"/>
      </w:divBdr>
    </w:div>
    <w:div w:id="1684435016">
      <w:bodyDiv w:val="1"/>
      <w:marLeft w:val="0"/>
      <w:marRight w:val="0"/>
      <w:marTop w:val="0"/>
      <w:marBottom w:val="0"/>
      <w:divBdr>
        <w:top w:val="none" w:sz="0" w:space="0" w:color="auto"/>
        <w:left w:val="none" w:sz="0" w:space="0" w:color="auto"/>
        <w:bottom w:val="none" w:sz="0" w:space="0" w:color="auto"/>
        <w:right w:val="none" w:sz="0" w:space="0" w:color="auto"/>
      </w:divBdr>
    </w:div>
    <w:div w:id="1702391058">
      <w:bodyDiv w:val="1"/>
      <w:marLeft w:val="0"/>
      <w:marRight w:val="0"/>
      <w:marTop w:val="0"/>
      <w:marBottom w:val="0"/>
      <w:divBdr>
        <w:top w:val="none" w:sz="0" w:space="0" w:color="auto"/>
        <w:left w:val="none" w:sz="0" w:space="0" w:color="auto"/>
        <w:bottom w:val="none" w:sz="0" w:space="0" w:color="auto"/>
        <w:right w:val="none" w:sz="0" w:space="0" w:color="auto"/>
      </w:divBdr>
    </w:div>
    <w:div w:id="182828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40</Pages>
  <Words>13225</Words>
  <Characters>75386</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Audit Observations and Recommendations</vt:lpstr>
    </vt:vector>
  </TitlesOfParts>
  <Company/>
  <LinksUpToDate>false</LinksUpToDate>
  <CharactersWithSpaces>88435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Observations and Recommendations</dc:title>
  <dc:subject/>
  <dc:creator>COA - Bulacan Agricultural State College, Region 3</dc:creator>
  <cp:keywords/>
  <dc:description/>
  <cp:lastModifiedBy>Mario B. Bacoco</cp:lastModifiedBy>
  <cp:revision>2</cp:revision>
  <cp:lastPrinted>2022-05-23T07:55:00Z</cp:lastPrinted>
  <dcterms:created xsi:type="dcterms:W3CDTF">2022-05-23T01:24:00Z</dcterms:created>
  <dcterms:modified xsi:type="dcterms:W3CDTF">2022-06-02T06:22:00Z</dcterms:modified>
</cp:coreProperties>
</file>