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CCC93" w14:textId="77777777" w:rsidR="001D409D" w:rsidRPr="00D7356B" w:rsidRDefault="001D409D" w:rsidP="003C7867">
      <w:pPr>
        <w:pStyle w:val="Heading1"/>
        <w:ind w:firstLine="360"/>
        <w:jc w:val="center"/>
        <w:rPr>
          <w:b w:val="0"/>
        </w:rPr>
      </w:pPr>
      <w:bookmarkStart w:id="0" w:name="_GoBack"/>
      <w:bookmarkEnd w:id="0"/>
      <w:r w:rsidRPr="00D7356B">
        <w:t>EXECUTIVE SUMMARY</w:t>
      </w:r>
    </w:p>
    <w:p w14:paraId="7411046E" w14:textId="77777777" w:rsidR="0043784D" w:rsidRPr="00D7356B" w:rsidRDefault="0043784D" w:rsidP="00CE630C">
      <w:pPr>
        <w:contextualSpacing/>
        <w:jc w:val="both"/>
        <w:rPr>
          <w:rFonts w:ascii="Times New Roman" w:hAnsi="Times New Roman"/>
          <w:sz w:val="24"/>
          <w:szCs w:val="24"/>
        </w:rPr>
      </w:pPr>
    </w:p>
    <w:p w14:paraId="4BE3F8C8" w14:textId="77777777" w:rsidR="001D409D" w:rsidRPr="00D7356B" w:rsidRDefault="001D409D" w:rsidP="004B6D09">
      <w:pPr>
        <w:pStyle w:val="Heading1"/>
        <w:numPr>
          <w:ilvl w:val="0"/>
          <w:numId w:val="2"/>
        </w:numPr>
        <w:rPr>
          <w:b w:val="0"/>
        </w:rPr>
      </w:pPr>
      <w:r w:rsidRPr="004B6D09">
        <w:rPr>
          <w:i/>
        </w:rPr>
        <w:t>Introduction</w:t>
      </w:r>
      <w:r w:rsidRPr="00D7356B">
        <w:tab/>
      </w:r>
    </w:p>
    <w:p w14:paraId="03CBDE36" w14:textId="77777777" w:rsidR="001D409D" w:rsidRPr="00D7356B" w:rsidRDefault="001D409D" w:rsidP="00CE630C">
      <w:pPr>
        <w:ind w:left="450"/>
        <w:contextualSpacing/>
        <w:jc w:val="both"/>
        <w:rPr>
          <w:rFonts w:ascii="Times New Roman" w:hAnsi="Times New Roman"/>
          <w:sz w:val="24"/>
          <w:szCs w:val="24"/>
        </w:rPr>
      </w:pPr>
    </w:p>
    <w:p w14:paraId="3F187105" w14:textId="77777777"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 xml:space="preserve">The </w:t>
      </w:r>
      <w:r w:rsidRPr="003F5D08">
        <w:rPr>
          <w:rFonts w:ascii="Times New Roman" w:hAnsi="Times New Roman"/>
          <w:b/>
          <w:sz w:val="24"/>
          <w:szCs w:val="24"/>
        </w:rPr>
        <w:t>Bulacan Agricultural State College (BASC)</w:t>
      </w:r>
      <w:r w:rsidRPr="003F5D08">
        <w:rPr>
          <w:rFonts w:ascii="Times New Roman" w:hAnsi="Times New Roman"/>
          <w:sz w:val="24"/>
          <w:szCs w:val="24"/>
        </w:rPr>
        <w:t xml:space="preserve"> was established in 1952.  It started as the Commun</w:t>
      </w:r>
      <w:r w:rsidR="001E528C" w:rsidRPr="003F5D08">
        <w:rPr>
          <w:rFonts w:ascii="Times New Roman" w:hAnsi="Times New Roman"/>
          <w:sz w:val="24"/>
          <w:szCs w:val="24"/>
        </w:rPr>
        <w:t>ity Agricultural School in Binto</w:t>
      </w:r>
      <w:r w:rsidRPr="003F5D08">
        <w:rPr>
          <w:rFonts w:ascii="Times New Roman" w:hAnsi="Times New Roman"/>
          <w:sz w:val="24"/>
          <w:szCs w:val="24"/>
        </w:rPr>
        <w:t>g, Plaridel, Bulacan with about 100 students.  The succeeding years saw an increase in the number of students.  Unlike before, students came not only from the local community but also from elsewhere in the province.  With this, the school was aptly named the Bulacan Provincial High School.</w:t>
      </w:r>
    </w:p>
    <w:p w14:paraId="27B49786" w14:textId="77777777" w:rsidR="001D409D" w:rsidRPr="003F5D08" w:rsidRDefault="001D409D" w:rsidP="00CE630C">
      <w:pPr>
        <w:ind w:firstLine="360"/>
        <w:contextualSpacing/>
        <w:jc w:val="both"/>
        <w:rPr>
          <w:rFonts w:ascii="Times New Roman" w:hAnsi="Times New Roman"/>
          <w:sz w:val="24"/>
          <w:szCs w:val="24"/>
        </w:rPr>
      </w:pPr>
    </w:p>
    <w:p w14:paraId="5625A6D3" w14:textId="365498C2"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In 1955, with a growing population and a need to accommodate the same, Presidential Proclamation No. 163 was issued allocating 200 hectares of land for the school in Pinaod, San Ildefonso, Bulacan.  Not long after, Republic Act</w:t>
      </w:r>
      <w:r w:rsidR="0037399C" w:rsidRPr="003F5D08">
        <w:rPr>
          <w:rFonts w:ascii="Times New Roman" w:hAnsi="Times New Roman"/>
          <w:sz w:val="24"/>
          <w:szCs w:val="24"/>
        </w:rPr>
        <w:t xml:space="preserve"> (R.A.)</w:t>
      </w:r>
      <w:r w:rsidRPr="003F5D08">
        <w:rPr>
          <w:rFonts w:ascii="Times New Roman" w:hAnsi="Times New Roman"/>
          <w:sz w:val="24"/>
          <w:szCs w:val="24"/>
        </w:rPr>
        <w:t xml:space="preserve"> No. 948 was issued changing the </w:t>
      </w:r>
      <w:r w:rsidR="0037399C" w:rsidRPr="003F5D08">
        <w:rPr>
          <w:rFonts w:ascii="Times New Roman" w:hAnsi="Times New Roman"/>
          <w:sz w:val="24"/>
          <w:szCs w:val="24"/>
        </w:rPr>
        <w:t>school’s</w:t>
      </w:r>
      <w:r w:rsidRPr="003F5D08">
        <w:rPr>
          <w:rFonts w:ascii="Times New Roman" w:hAnsi="Times New Roman"/>
          <w:sz w:val="24"/>
          <w:szCs w:val="24"/>
        </w:rPr>
        <w:t xml:space="preserve"> name to Bulacan National Agricultural School (BuNAS).</w:t>
      </w:r>
    </w:p>
    <w:p w14:paraId="7D7DE0DD" w14:textId="77777777" w:rsidR="001D409D" w:rsidRPr="003F5D08" w:rsidRDefault="001D409D" w:rsidP="0049248D">
      <w:pPr>
        <w:contextualSpacing/>
        <w:jc w:val="both"/>
        <w:rPr>
          <w:rFonts w:ascii="Times New Roman" w:hAnsi="Times New Roman"/>
          <w:sz w:val="24"/>
          <w:szCs w:val="24"/>
        </w:rPr>
      </w:pPr>
    </w:p>
    <w:p w14:paraId="612873EC" w14:textId="06943BB6"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 xml:space="preserve">In 1960, tertiary education was offered in BuNAS with a two-year Associate in Agriculture </w:t>
      </w:r>
      <w:r w:rsidR="0037399C" w:rsidRPr="003F5D08">
        <w:rPr>
          <w:rFonts w:ascii="Times New Roman" w:hAnsi="Times New Roman"/>
          <w:sz w:val="24"/>
          <w:szCs w:val="24"/>
        </w:rPr>
        <w:t>P</w:t>
      </w:r>
      <w:r w:rsidRPr="003F5D08">
        <w:rPr>
          <w:rFonts w:ascii="Times New Roman" w:hAnsi="Times New Roman"/>
          <w:sz w:val="24"/>
          <w:szCs w:val="24"/>
        </w:rPr>
        <w:t>rogram, which eventually le</w:t>
      </w:r>
      <w:r w:rsidR="0037399C" w:rsidRPr="003F5D08">
        <w:rPr>
          <w:rFonts w:ascii="Times New Roman" w:hAnsi="Times New Roman"/>
          <w:sz w:val="24"/>
          <w:szCs w:val="24"/>
        </w:rPr>
        <w:t>d</w:t>
      </w:r>
      <w:r w:rsidRPr="003F5D08">
        <w:rPr>
          <w:rFonts w:ascii="Times New Roman" w:hAnsi="Times New Roman"/>
          <w:sz w:val="24"/>
          <w:szCs w:val="24"/>
        </w:rPr>
        <w:t xml:space="preserve"> to the offering of the Bachelor of Science in Agriculture Degree with majors in Agronomy and Animal Husbandry.</w:t>
      </w:r>
    </w:p>
    <w:p w14:paraId="67F40577" w14:textId="77777777" w:rsidR="001D409D" w:rsidRPr="003F5D08" w:rsidRDefault="001D409D" w:rsidP="00CE630C">
      <w:pPr>
        <w:ind w:firstLine="360"/>
        <w:contextualSpacing/>
        <w:jc w:val="both"/>
        <w:rPr>
          <w:rFonts w:ascii="Times New Roman" w:hAnsi="Times New Roman"/>
          <w:sz w:val="24"/>
          <w:szCs w:val="24"/>
        </w:rPr>
      </w:pPr>
    </w:p>
    <w:p w14:paraId="1782932E" w14:textId="5ADE2AE6"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Cognizant to a broad-based agricultural education a</w:t>
      </w:r>
      <w:r w:rsidR="004E582B" w:rsidRPr="003F5D08">
        <w:rPr>
          <w:rFonts w:ascii="Times New Roman" w:hAnsi="Times New Roman"/>
          <w:sz w:val="24"/>
          <w:szCs w:val="24"/>
        </w:rPr>
        <w:t>nd training needs of the Bulakeñ</w:t>
      </w:r>
      <w:r w:rsidRPr="003F5D08">
        <w:rPr>
          <w:rFonts w:ascii="Times New Roman" w:hAnsi="Times New Roman"/>
          <w:sz w:val="24"/>
          <w:szCs w:val="24"/>
        </w:rPr>
        <w:t xml:space="preserve">os, Hon. Ricardo C. Silverio, </w:t>
      </w:r>
      <w:r w:rsidR="00C0776E" w:rsidRPr="003F5D08">
        <w:rPr>
          <w:rFonts w:ascii="Times New Roman" w:hAnsi="Times New Roman"/>
          <w:sz w:val="24"/>
          <w:szCs w:val="24"/>
        </w:rPr>
        <w:t>and then</w:t>
      </w:r>
      <w:r w:rsidRPr="003F5D08">
        <w:rPr>
          <w:rFonts w:ascii="Times New Roman" w:hAnsi="Times New Roman"/>
          <w:sz w:val="24"/>
          <w:szCs w:val="24"/>
        </w:rPr>
        <w:t xml:space="preserve"> Representative of District II of the Province of Bulacan authored House Bill No. 2389 which moved for an expanded educational program for BuNAS.  With bilateral approval of both Houses, President Fidel V. Ramos signed R</w:t>
      </w:r>
      <w:r w:rsidR="0037399C" w:rsidRPr="003F5D08">
        <w:rPr>
          <w:rFonts w:ascii="Times New Roman" w:hAnsi="Times New Roman"/>
          <w:sz w:val="24"/>
          <w:szCs w:val="24"/>
        </w:rPr>
        <w:t xml:space="preserve">.A. No. </w:t>
      </w:r>
      <w:r w:rsidRPr="003F5D08">
        <w:rPr>
          <w:rFonts w:ascii="Times New Roman" w:hAnsi="Times New Roman"/>
          <w:sz w:val="24"/>
          <w:szCs w:val="24"/>
        </w:rPr>
        <w:t>8548, officially converting the Bu</w:t>
      </w:r>
      <w:r w:rsidR="0037399C" w:rsidRPr="003F5D08">
        <w:rPr>
          <w:rFonts w:ascii="Times New Roman" w:hAnsi="Times New Roman"/>
          <w:sz w:val="24"/>
          <w:szCs w:val="24"/>
        </w:rPr>
        <w:t>NAS</w:t>
      </w:r>
      <w:r w:rsidRPr="003F5D08">
        <w:rPr>
          <w:rFonts w:ascii="Times New Roman" w:hAnsi="Times New Roman"/>
          <w:sz w:val="24"/>
          <w:szCs w:val="24"/>
        </w:rPr>
        <w:t xml:space="preserve"> into a chartered state college known as the Bulacan National Agricultural State College on February 24, 1998.  Its name was changed to Bulacan Agricultural State College by virtue of R</w:t>
      </w:r>
      <w:r w:rsidR="0037399C" w:rsidRPr="003F5D08">
        <w:rPr>
          <w:rFonts w:ascii="Times New Roman" w:hAnsi="Times New Roman"/>
          <w:sz w:val="24"/>
          <w:szCs w:val="24"/>
        </w:rPr>
        <w:t>.</w:t>
      </w:r>
      <w:r w:rsidRPr="003F5D08">
        <w:rPr>
          <w:rFonts w:ascii="Times New Roman" w:hAnsi="Times New Roman"/>
          <w:sz w:val="24"/>
          <w:szCs w:val="24"/>
        </w:rPr>
        <w:t>A</w:t>
      </w:r>
      <w:r w:rsidR="0037399C" w:rsidRPr="003F5D08">
        <w:rPr>
          <w:rFonts w:ascii="Times New Roman" w:hAnsi="Times New Roman"/>
          <w:sz w:val="24"/>
          <w:szCs w:val="24"/>
        </w:rPr>
        <w:t>. No.</w:t>
      </w:r>
      <w:r w:rsidRPr="003F5D08">
        <w:rPr>
          <w:rFonts w:ascii="Times New Roman" w:hAnsi="Times New Roman"/>
          <w:sz w:val="24"/>
          <w:szCs w:val="24"/>
        </w:rPr>
        <w:t xml:space="preserve"> 9249 signed by Her Excellency Gloria Macapagal Arroyo on February 19, 2004. </w:t>
      </w:r>
    </w:p>
    <w:p w14:paraId="0755033D" w14:textId="77777777" w:rsidR="001D409D" w:rsidRPr="003F5D08" w:rsidRDefault="001D409D" w:rsidP="00CE630C">
      <w:pPr>
        <w:ind w:firstLine="360"/>
        <w:contextualSpacing/>
        <w:jc w:val="both"/>
        <w:rPr>
          <w:rFonts w:ascii="Times New Roman" w:hAnsi="Times New Roman"/>
          <w:sz w:val="24"/>
          <w:szCs w:val="24"/>
        </w:rPr>
      </w:pPr>
    </w:p>
    <w:p w14:paraId="6369DF20" w14:textId="77777777" w:rsidR="001D409D" w:rsidRPr="003F5D08" w:rsidRDefault="004B6D09" w:rsidP="0049248D">
      <w:pPr>
        <w:tabs>
          <w:tab w:val="left" w:pos="360"/>
        </w:tabs>
        <w:contextualSpacing/>
        <w:jc w:val="both"/>
        <w:rPr>
          <w:rFonts w:ascii="Times New Roman" w:hAnsi="Times New Roman"/>
          <w:sz w:val="24"/>
          <w:szCs w:val="24"/>
        </w:rPr>
      </w:pPr>
      <w:r w:rsidRPr="003F5D08">
        <w:rPr>
          <w:rFonts w:ascii="Times New Roman" w:hAnsi="Times New Roman"/>
          <w:sz w:val="24"/>
          <w:szCs w:val="24"/>
        </w:rPr>
        <w:tab/>
      </w:r>
      <w:r w:rsidRPr="003F5D08">
        <w:rPr>
          <w:rFonts w:ascii="Times New Roman" w:hAnsi="Times New Roman"/>
          <w:sz w:val="24"/>
          <w:szCs w:val="24"/>
        </w:rPr>
        <w:tab/>
      </w:r>
      <w:r w:rsidR="001D409D" w:rsidRPr="003F5D08">
        <w:rPr>
          <w:rFonts w:ascii="Times New Roman" w:hAnsi="Times New Roman"/>
          <w:sz w:val="24"/>
          <w:szCs w:val="24"/>
        </w:rPr>
        <w:t>As mandated by its charter, BASC shall provide higher professional, technical, and special instructions for special purposes and promote research and extension services and advanced studies in agriculture, arts and science programs and other allie</w:t>
      </w:r>
      <w:r w:rsidR="005111D4" w:rsidRPr="003F5D08">
        <w:rPr>
          <w:rFonts w:ascii="Times New Roman" w:hAnsi="Times New Roman"/>
          <w:sz w:val="24"/>
          <w:szCs w:val="24"/>
        </w:rPr>
        <w:t xml:space="preserve">d courses.  It shall also </w:t>
      </w:r>
      <w:r w:rsidR="00B52220" w:rsidRPr="003F5D08">
        <w:rPr>
          <w:rFonts w:ascii="Times New Roman" w:hAnsi="Times New Roman"/>
          <w:sz w:val="24"/>
          <w:szCs w:val="24"/>
        </w:rPr>
        <w:t>offer short</w:t>
      </w:r>
      <w:r w:rsidR="001D409D" w:rsidRPr="003F5D08">
        <w:rPr>
          <w:rFonts w:ascii="Times New Roman" w:hAnsi="Times New Roman"/>
          <w:sz w:val="24"/>
          <w:szCs w:val="24"/>
        </w:rPr>
        <w:t>-term technical and vocational non-degree courses within its area of specialization to meet the needs of its constituents.</w:t>
      </w:r>
    </w:p>
    <w:p w14:paraId="6FA1AFA8" w14:textId="77777777" w:rsidR="001D409D" w:rsidRPr="003F5D08" w:rsidRDefault="001D409D" w:rsidP="00CE630C">
      <w:pPr>
        <w:ind w:firstLine="360"/>
        <w:contextualSpacing/>
        <w:jc w:val="both"/>
        <w:rPr>
          <w:rFonts w:ascii="Times New Roman" w:hAnsi="Times New Roman"/>
          <w:sz w:val="24"/>
          <w:szCs w:val="24"/>
        </w:rPr>
      </w:pPr>
    </w:p>
    <w:p w14:paraId="28DCA27D" w14:textId="77777777"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It has a mission to endeavor to be a center of development/excellence in agriculture and forestry, engineering, food science, information technology, and teacher education responsive to the national goals of food security, poverty alleviation, sustainable development, global competitiveness and people empowerment.</w:t>
      </w:r>
      <w:r w:rsidR="00C92E45" w:rsidRPr="003F5D08">
        <w:rPr>
          <w:rFonts w:ascii="Times New Roman" w:hAnsi="Times New Roman"/>
          <w:sz w:val="24"/>
          <w:szCs w:val="24"/>
        </w:rPr>
        <w:t> </w:t>
      </w:r>
    </w:p>
    <w:p w14:paraId="335262F6" w14:textId="77777777" w:rsidR="00393EA6" w:rsidRPr="003F5D08" w:rsidRDefault="00393EA6" w:rsidP="00CE630C">
      <w:pPr>
        <w:ind w:firstLine="360"/>
        <w:contextualSpacing/>
        <w:jc w:val="both"/>
        <w:rPr>
          <w:rFonts w:ascii="Times New Roman" w:hAnsi="Times New Roman"/>
          <w:sz w:val="24"/>
          <w:szCs w:val="24"/>
        </w:rPr>
      </w:pPr>
    </w:p>
    <w:p w14:paraId="7AAB5121" w14:textId="77777777" w:rsidR="001D409D" w:rsidRPr="003F5D08" w:rsidRDefault="001D409D" w:rsidP="004B6D09">
      <w:pPr>
        <w:ind w:firstLine="720"/>
        <w:contextualSpacing/>
        <w:jc w:val="both"/>
        <w:rPr>
          <w:rFonts w:ascii="Times New Roman" w:hAnsi="Times New Roman"/>
          <w:sz w:val="24"/>
          <w:szCs w:val="24"/>
        </w:rPr>
      </w:pPr>
      <w:r w:rsidRPr="003F5D08">
        <w:rPr>
          <w:rFonts w:ascii="Times New Roman" w:hAnsi="Times New Roman"/>
          <w:sz w:val="24"/>
          <w:szCs w:val="24"/>
        </w:rPr>
        <w:t>The Board of Trustees is the policy-making body of BASC, which is composed of 11 members as follows:</w:t>
      </w:r>
    </w:p>
    <w:p w14:paraId="1954500F" w14:textId="77777777" w:rsidR="000C606B" w:rsidRPr="003F5D08" w:rsidRDefault="000C606B" w:rsidP="00CE630C">
      <w:pPr>
        <w:contextualSpacing/>
        <w:jc w:val="both"/>
        <w:rPr>
          <w:rFonts w:ascii="Times New Roman" w:hAnsi="Times New Roman"/>
          <w:sz w:val="24"/>
          <w:szCs w:val="24"/>
        </w:rPr>
      </w:pPr>
    </w:p>
    <w:p w14:paraId="529006AC" w14:textId="77777777" w:rsidR="000C606B" w:rsidRPr="003F5D08" w:rsidRDefault="000C606B" w:rsidP="00CE630C">
      <w:pPr>
        <w:contextualSpacing/>
        <w:jc w:val="both"/>
        <w:rPr>
          <w:rFonts w:ascii="Times New Roman" w:hAnsi="Times New Roman"/>
          <w:sz w:val="24"/>
          <w:szCs w:val="24"/>
        </w:rPr>
      </w:pPr>
      <w:r w:rsidRPr="003F5D08">
        <w:rPr>
          <w:rFonts w:ascii="Times New Roman" w:hAnsi="Times New Roman"/>
          <w:sz w:val="24"/>
          <w:szCs w:val="24"/>
        </w:rPr>
        <w:tab/>
        <w:t>Chairman</w:t>
      </w:r>
      <w:r w:rsidRPr="003F5D08">
        <w:rPr>
          <w:rFonts w:ascii="Times New Roman" w:hAnsi="Times New Roman"/>
          <w:sz w:val="24"/>
          <w:szCs w:val="24"/>
        </w:rPr>
        <w:tab/>
      </w:r>
      <w:r w:rsidRPr="003F5D08">
        <w:rPr>
          <w:rFonts w:ascii="Times New Roman" w:hAnsi="Times New Roman"/>
          <w:sz w:val="24"/>
          <w:szCs w:val="24"/>
        </w:rPr>
        <w:tab/>
        <w:t>-</w:t>
      </w:r>
      <w:r w:rsidRPr="003F5D08">
        <w:rPr>
          <w:rFonts w:ascii="Times New Roman" w:hAnsi="Times New Roman"/>
          <w:sz w:val="24"/>
          <w:szCs w:val="24"/>
        </w:rPr>
        <w:tab/>
        <w:t>Chairman, Commission on Higher Education</w:t>
      </w:r>
    </w:p>
    <w:p w14:paraId="7A5CC94D" w14:textId="77777777" w:rsidR="000C606B" w:rsidRPr="003F5D08" w:rsidRDefault="000C606B" w:rsidP="00CE630C">
      <w:pPr>
        <w:ind w:firstLine="720"/>
        <w:contextualSpacing/>
        <w:jc w:val="both"/>
        <w:rPr>
          <w:rFonts w:ascii="Times New Roman" w:hAnsi="Times New Roman"/>
          <w:sz w:val="24"/>
          <w:szCs w:val="24"/>
        </w:rPr>
      </w:pPr>
      <w:r w:rsidRPr="003F5D08">
        <w:rPr>
          <w:rFonts w:ascii="Times New Roman" w:hAnsi="Times New Roman"/>
          <w:sz w:val="24"/>
          <w:szCs w:val="24"/>
        </w:rPr>
        <w:t>Vice-Chairman</w:t>
      </w:r>
      <w:r w:rsidRPr="003F5D08">
        <w:rPr>
          <w:rFonts w:ascii="Times New Roman" w:hAnsi="Times New Roman"/>
          <w:sz w:val="24"/>
          <w:szCs w:val="24"/>
        </w:rPr>
        <w:tab/>
        <w:t>-</w:t>
      </w:r>
      <w:r w:rsidRPr="003F5D08">
        <w:rPr>
          <w:rFonts w:ascii="Times New Roman" w:hAnsi="Times New Roman"/>
          <w:sz w:val="24"/>
          <w:szCs w:val="24"/>
        </w:rPr>
        <w:tab/>
        <w:t>President, Bulacan Agricultural State College</w:t>
      </w:r>
    </w:p>
    <w:p w14:paraId="1F851C72" w14:textId="77777777" w:rsidR="000C606B" w:rsidRPr="003F5D08" w:rsidRDefault="000C606B" w:rsidP="00CE630C">
      <w:pPr>
        <w:tabs>
          <w:tab w:val="left" w:pos="2160"/>
        </w:tabs>
        <w:ind w:left="720"/>
        <w:contextualSpacing/>
        <w:jc w:val="both"/>
        <w:rPr>
          <w:rFonts w:ascii="Times New Roman" w:hAnsi="Times New Roman"/>
          <w:sz w:val="24"/>
          <w:szCs w:val="24"/>
        </w:rPr>
      </w:pPr>
      <w:r w:rsidRPr="003F5D08">
        <w:rPr>
          <w:rFonts w:ascii="Times New Roman" w:hAnsi="Times New Roman"/>
          <w:sz w:val="24"/>
          <w:szCs w:val="24"/>
        </w:rPr>
        <w:t>Trustees</w:t>
      </w:r>
      <w:r w:rsidRPr="003F5D08">
        <w:rPr>
          <w:rFonts w:ascii="Times New Roman" w:hAnsi="Times New Roman"/>
          <w:sz w:val="24"/>
          <w:szCs w:val="24"/>
        </w:rPr>
        <w:tab/>
      </w:r>
      <w:r w:rsidRPr="003F5D08">
        <w:rPr>
          <w:rFonts w:ascii="Times New Roman" w:hAnsi="Times New Roman"/>
          <w:sz w:val="24"/>
          <w:szCs w:val="24"/>
        </w:rPr>
        <w:tab/>
        <w:t>-</w:t>
      </w:r>
      <w:r w:rsidRPr="003F5D08">
        <w:rPr>
          <w:rFonts w:ascii="Times New Roman" w:hAnsi="Times New Roman"/>
          <w:sz w:val="24"/>
          <w:szCs w:val="24"/>
        </w:rPr>
        <w:tab/>
        <w:t xml:space="preserve">Chairman, Senate Committee on Higher and                 </w:t>
      </w:r>
    </w:p>
    <w:p w14:paraId="50A0FD82" w14:textId="77777777" w:rsidR="001D409D" w:rsidRPr="00D7356B" w:rsidRDefault="001D409D" w:rsidP="00CE630C">
      <w:pPr>
        <w:tabs>
          <w:tab w:val="left" w:pos="1800"/>
        </w:tabs>
        <w:contextualSpacing/>
        <w:jc w:val="both"/>
        <w:rPr>
          <w:rFonts w:ascii="Times New Roman" w:hAnsi="Times New Roman"/>
          <w:sz w:val="24"/>
          <w:szCs w:val="24"/>
        </w:rPr>
      </w:pPr>
      <w:r w:rsidRPr="003F5D08">
        <w:rPr>
          <w:rFonts w:ascii="Times New Roman" w:hAnsi="Times New Roman"/>
          <w:sz w:val="24"/>
          <w:szCs w:val="24"/>
        </w:rPr>
        <w:tab/>
      </w:r>
      <w:r w:rsidRPr="003F5D08">
        <w:rPr>
          <w:rFonts w:ascii="Times New Roman" w:hAnsi="Times New Roman"/>
          <w:sz w:val="24"/>
          <w:szCs w:val="24"/>
        </w:rPr>
        <w:tab/>
      </w:r>
      <w:r w:rsidRPr="003F5D08">
        <w:rPr>
          <w:rFonts w:ascii="Times New Roman" w:hAnsi="Times New Roman"/>
          <w:sz w:val="24"/>
          <w:szCs w:val="24"/>
        </w:rPr>
        <w:tab/>
      </w:r>
      <w:r w:rsidRPr="003F5D08">
        <w:rPr>
          <w:rFonts w:ascii="Times New Roman" w:hAnsi="Times New Roman"/>
          <w:sz w:val="24"/>
          <w:szCs w:val="24"/>
        </w:rPr>
        <w:tab/>
        <w:t>Technical Education</w:t>
      </w:r>
    </w:p>
    <w:p w14:paraId="4B2A31A1" w14:textId="77777777" w:rsidR="001D409D" w:rsidRPr="00D7356B" w:rsidRDefault="00CE630C" w:rsidP="00CE630C">
      <w:pPr>
        <w:ind w:left="2160" w:firstLine="720"/>
        <w:jc w:val="both"/>
        <w:rPr>
          <w:rFonts w:ascii="Times New Roman" w:hAnsi="Times New Roman"/>
          <w:sz w:val="24"/>
          <w:szCs w:val="24"/>
        </w:rPr>
      </w:pPr>
      <w:r w:rsidRPr="00D7356B">
        <w:rPr>
          <w:rFonts w:ascii="Times New Roman" w:hAnsi="Times New Roman"/>
          <w:sz w:val="24"/>
          <w:szCs w:val="24"/>
        </w:rPr>
        <w:lastRenderedPageBreak/>
        <w:t>-</w:t>
      </w:r>
      <w:r w:rsidRPr="00D7356B">
        <w:rPr>
          <w:rFonts w:ascii="Times New Roman" w:hAnsi="Times New Roman"/>
          <w:sz w:val="24"/>
          <w:szCs w:val="24"/>
        </w:rPr>
        <w:tab/>
      </w:r>
      <w:r w:rsidR="001D409D" w:rsidRPr="00D7356B">
        <w:rPr>
          <w:rFonts w:ascii="Times New Roman" w:hAnsi="Times New Roman"/>
          <w:sz w:val="24"/>
          <w:szCs w:val="24"/>
        </w:rPr>
        <w:t>Chairman, House Committee on Higher and</w:t>
      </w:r>
    </w:p>
    <w:p w14:paraId="2CBEB951" w14:textId="77777777" w:rsidR="001D409D" w:rsidRPr="00D7356B" w:rsidRDefault="001D409D" w:rsidP="00CE630C">
      <w:pPr>
        <w:ind w:left="2880" w:firstLine="720"/>
        <w:contextualSpacing/>
        <w:jc w:val="both"/>
        <w:rPr>
          <w:rFonts w:ascii="Times New Roman" w:hAnsi="Times New Roman"/>
          <w:sz w:val="24"/>
          <w:szCs w:val="24"/>
        </w:rPr>
      </w:pPr>
      <w:r w:rsidRPr="00D7356B">
        <w:rPr>
          <w:rFonts w:ascii="Times New Roman" w:hAnsi="Times New Roman"/>
          <w:sz w:val="24"/>
          <w:szCs w:val="24"/>
        </w:rPr>
        <w:t>Technical Education</w:t>
      </w:r>
    </w:p>
    <w:p w14:paraId="2BD82B5F"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Director, NEDA Region III</w:t>
      </w:r>
    </w:p>
    <w:p w14:paraId="1F04B846"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Director, DA Region III</w:t>
      </w:r>
    </w:p>
    <w:p w14:paraId="131E2A54"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Director, DOST Region III</w:t>
      </w:r>
    </w:p>
    <w:p w14:paraId="074A8447"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President, BASC Alumni Association</w:t>
      </w:r>
    </w:p>
    <w:p w14:paraId="50C14E44"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Faculty Trustee</w:t>
      </w:r>
    </w:p>
    <w:p w14:paraId="22E46291"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Student Trustee</w:t>
      </w:r>
    </w:p>
    <w:p w14:paraId="2EA622AD" w14:textId="77777777" w:rsidR="001D409D" w:rsidRPr="00D7356B" w:rsidRDefault="001D409D" w:rsidP="00CE630C">
      <w:pPr>
        <w:numPr>
          <w:ilvl w:val="0"/>
          <w:numId w:val="1"/>
        </w:numPr>
        <w:ind w:left="3600" w:hanging="720"/>
        <w:contextualSpacing/>
        <w:jc w:val="both"/>
        <w:rPr>
          <w:rFonts w:ascii="Times New Roman" w:hAnsi="Times New Roman"/>
          <w:sz w:val="24"/>
          <w:szCs w:val="24"/>
        </w:rPr>
      </w:pPr>
      <w:r w:rsidRPr="00D7356B">
        <w:rPr>
          <w:rFonts w:ascii="Times New Roman" w:hAnsi="Times New Roman"/>
          <w:sz w:val="24"/>
          <w:szCs w:val="24"/>
        </w:rPr>
        <w:t>Prominent Citizen</w:t>
      </w:r>
    </w:p>
    <w:p w14:paraId="368D240F" w14:textId="77777777" w:rsidR="001D409D" w:rsidRPr="00D7356B" w:rsidRDefault="001D409D" w:rsidP="00CE630C">
      <w:pPr>
        <w:ind w:left="3960"/>
        <w:contextualSpacing/>
        <w:jc w:val="both"/>
        <w:rPr>
          <w:rFonts w:ascii="Times New Roman" w:hAnsi="Times New Roman"/>
          <w:sz w:val="24"/>
          <w:szCs w:val="24"/>
        </w:rPr>
      </w:pPr>
    </w:p>
    <w:p w14:paraId="5FAD2BCA" w14:textId="3769BCD8" w:rsidR="001D409D" w:rsidRPr="00D7356B" w:rsidRDefault="001D409D" w:rsidP="004B6D09">
      <w:pPr>
        <w:ind w:firstLine="720"/>
        <w:contextualSpacing/>
        <w:jc w:val="both"/>
        <w:rPr>
          <w:rFonts w:ascii="Times New Roman" w:hAnsi="Times New Roman"/>
          <w:sz w:val="24"/>
          <w:szCs w:val="24"/>
        </w:rPr>
      </w:pPr>
      <w:r w:rsidRPr="00D7356B">
        <w:rPr>
          <w:rFonts w:ascii="Times New Roman" w:hAnsi="Times New Roman"/>
          <w:sz w:val="24"/>
          <w:szCs w:val="24"/>
        </w:rPr>
        <w:t xml:space="preserve">The BASC Administration is headed by the College President, </w:t>
      </w:r>
      <w:r w:rsidR="00484D69">
        <w:rPr>
          <w:rFonts w:ascii="Times New Roman" w:hAnsi="Times New Roman"/>
          <w:sz w:val="24"/>
          <w:szCs w:val="24"/>
        </w:rPr>
        <w:t>Jameson H. Tan, Ed. H</w:t>
      </w:r>
      <w:r w:rsidR="004F5F78" w:rsidRPr="00D7356B">
        <w:rPr>
          <w:rFonts w:ascii="Times New Roman" w:hAnsi="Times New Roman"/>
          <w:sz w:val="24"/>
          <w:szCs w:val="24"/>
        </w:rPr>
        <w:t>.</w:t>
      </w:r>
      <w:r w:rsidRPr="00D7356B">
        <w:rPr>
          <w:rFonts w:ascii="Times New Roman" w:hAnsi="Times New Roman"/>
          <w:sz w:val="24"/>
          <w:szCs w:val="24"/>
        </w:rPr>
        <w:t>, and is ably assisted by</w:t>
      </w:r>
      <w:r w:rsidR="005F6DCE">
        <w:rPr>
          <w:rFonts w:ascii="Times New Roman" w:hAnsi="Times New Roman"/>
          <w:sz w:val="24"/>
          <w:szCs w:val="24"/>
        </w:rPr>
        <w:t xml:space="preserve"> </w:t>
      </w:r>
      <w:r w:rsidRPr="00D7356B">
        <w:rPr>
          <w:rFonts w:ascii="Times New Roman" w:hAnsi="Times New Roman"/>
          <w:sz w:val="24"/>
          <w:szCs w:val="24"/>
        </w:rPr>
        <w:t xml:space="preserve">Dr. </w:t>
      </w:r>
      <w:r w:rsidR="00484D69">
        <w:rPr>
          <w:rFonts w:ascii="Times New Roman" w:hAnsi="Times New Roman"/>
          <w:sz w:val="24"/>
          <w:szCs w:val="24"/>
        </w:rPr>
        <w:t>Cecilia S. Santiago</w:t>
      </w:r>
      <w:r w:rsidRPr="00D7356B">
        <w:rPr>
          <w:rFonts w:ascii="Times New Roman" w:hAnsi="Times New Roman"/>
          <w:sz w:val="24"/>
          <w:szCs w:val="24"/>
        </w:rPr>
        <w:t xml:space="preserve">, Vice President for Academic, </w:t>
      </w:r>
      <w:r w:rsidRPr="0023561F">
        <w:rPr>
          <w:rFonts w:ascii="Times New Roman" w:hAnsi="Times New Roman"/>
          <w:sz w:val="24"/>
          <w:szCs w:val="24"/>
        </w:rPr>
        <w:t xml:space="preserve">Affairs; </w:t>
      </w:r>
      <w:r w:rsidRPr="00F521A6">
        <w:rPr>
          <w:rFonts w:ascii="Times New Roman" w:hAnsi="Times New Roman"/>
          <w:sz w:val="24"/>
          <w:szCs w:val="24"/>
        </w:rPr>
        <w:t xml:space="preserve">Dr. </w:t>
      </w:r>
      <w:r w:rsidR="00F521A6" w:rsidRPr="00F521A6">
        <w:rPr>
          <w:rFonts w:ascii="Times New Roman" w:hAnsi="Times New Roman"/>
          <w:sz w:val="24"/>
          <w:szCs w:val="24"/>
        </w:rPr>
        <w:t>Ronald Reagan T. Alonzo</w:t>
      </w:r>
      <w:r w:rsidRPr="00F521A6">
        <w:rPr>
          <w:rFonts w:ascii="Times New Roman" w:hAnsi="Times New Roman"/>
          <w:sz w:val="24"/>
          <w:szCs w:val="24"/>
        </w:rPr>
        <w:t>, Vice President for Administration</w:t>
      </w:r>
      <w:r w:rsidR="00F521A6" w:rsidRPr="00F521A6">
        <w:rPr>
          <w:rFonts w:ascii="Times New Roman" w:hAnsi="Times New Roman"/>
          <w:sz w:val="24"/>
          <w:szCs w:val="24"/>
        </w:rPr>
        <w:t xml:space="preserve"> and </w:t>
      </w:r>
      <w:r w:rsidRPr="00F521A6">
        <w:rPr>
          <w:rFonts w:ascii="Times New Roman" w:hAnsi="Times New Roman"/>
          <w:sz w:val="24"/>
          <w:szCs w:val="24"/>
        </w:rPr>
        <w:t xml:space="preserve">Finance; and Dr. </w:t>
      </w:r>
      <w:r w:rsidR="00484D69" w:rsidRPr="00F521A6">
        <w:rPr>
          <w:rFonts w:ascii="Times New Roman" w:hAnsi="Times New Roman"/>
          <w:sz w:val="24"/>
          <w:szCs w:val="24"/>
        </w:rPr>
        <w:t>Susan C. Santos</w:t>
      </w:r>
      <w:r w:rsidRPr="00F521A6">
        <w:rPr>
          <w:rFonts w:ascii="Times New Roman" w:hAnsi="Times New Roman"/>
          <w:sz w:val="24"/>
          <w:szCs w:val="24"/>
        </w:rPr>
        <w:t>, Vice President fo</w:t>
      </w:r>
      <w:r w:rsidR="00484D69" w:rsidRPr="00F521A6">
        <w:rPr>
          <w:rFonts w:ascii="Times New Roman" w:hAnsi="Times New Roman"/>
          <w:sz w:val="24"/>
          <w:szCs w:val="24"/>
        </w:rPr>
        <w:t xml:space="preserve">r Research, Extension, </w:t>
      </w:r>
      <w:r w:rsidRPr="00F521A6">
        <w:rPr>
          <w:rFonts w:ascii="Times New Roman" w:hAnsi="Times New Roman"/>
          <w:sz w:val="24"/>
          <w:szCs w:val="24"/>
        </w:rPr>
        <w:t>Production</w:t>
      </w:r>
      <w:r w:rsidR="00484D69" w:rsidRPr="00F521A6">
        <w:rPr>
          <w:rFonts w:ascii="Times New Roman" w:hAnsi="Times New Roman"/>
          <w:sz w:val="24"/>
          <w:szCs w:val="24"/>
        </w:rPr>
        <w:t xml:space="preserve"> and Development</w:t>
      </w:r>
      <w:r w:rsidRPr="00F521A6">
        <w:rPr>
          <w:rFonts w:ascii="Times New Roman" w:hAnsi="Times New Roman"/>
          <w:sz w:val="24"/>
          <w:szCs w:val="24"/>
        </w:rPr>
        <w:t>.</w:t>
      </w:r>
    </w:p>
    <w:p w14:paraId="1175C425" w14:textId="77777777" w:rsidR="00393EA6" w:rsidRPr="00D7356B" w:rsidRDefault="00393EA6" w:rsidP="00CE630C">
      <w:pPr>
        <w:contextualSpacing/>
        <w:jc w:val="both"/>
        <w:rPr>
          <w:rFonts w:ascii="Times New Roman" w:hAnsi="Times New Roman"/>
          <w:sz w:val="24"/>
          <w:szCs w:val="24"/>
        </w:rPr>
      </w:pPr>
    </w:p>
    <w:p w14:paraId="6DF27829" w14:textId="6099FC3A" w:rsidR="00B56E76" w:rsidRPr="009C753E" w:rsidRDefault="00500951" w:rsidP="004B6D09">
      <w:pPr>
        <w:pStyle w:val="Title"/>
        <w:ind w:firstLine="720"/>
        <w:contextualSpacing/>
        <w:jc w:val="both"/>
        <w:rPr>
          <w:b w:val="0"/>
          <w:bCs w:val="0"/>
          <w:sz w:val="24"/>
        </w:rPr>
      </w:pPr>
      <w:r>
        <w:rPr>
          <w:b w:val="0"/>
          <w:bCs w:val="0"/>
          <w:sz w:val="24"/>
        </w:rPr>
        <w:t xml:space="preserve">The </w:t>
      </w:r>
      <w:r w:rsidR="00B56E76" w:rsidRPr="00D7356B">
        <w:rPr>
          <w:b w:val="0"/>
          <w:bCs w:val="0"/>
          <w:sz w:val="24"/>
        </w:rPr>
        <w:t>Personnel Complement</w:t>
      </w:r>
      <w:r w:rsidR="0037399C">
        <w:rPr>
          <w:b w:val="0"/>
          <w:bCs w:val="0"/>
          <w:sz w:val="24"/>
        </w:rPr>
        <w:t xml:space="preserve"> of the College</w:t>
      </w:r>
      <w:r w:rsidR="00B56E76" w:rsidRPr="00D7356B">
        <w:rPr>
          <w:b w:val="0"/>
          <w:bCs w:val="0"/>
          <w:sz w:val="24"/>
        </w:rPr>
        <w:t xml:space="preserve"> </w:t>
      </w:r>
      <w:r w:rsidR="003B67CC" w:rsidRPr="009C753E">
        <w:rPr>
          <w:b w:val="0"/>
          <w:bCs w:val="0"/>
          <w:sz w:val="24"/>
        </w:rPr>
        <w:t xml:space="preserve">for </w:t>
      </w:r>
      <w:r w:rsidR="0037399C">
        <w:rPr>
          <w:b w:val="0"/>
          <w:bCs w:val="0"/>
          <w:sz w:val="24"/>
        </w:rPr>
        <w:t xml:space="preserve">CY </w:t>
      </w:r>
      <w:r w:rsidR="00DA284D" w:rsidRPr="009C753E">
        <w:rPr>
          <w:b w:val="0"/>
          <w:bCs w:val="0"/>
          <w:sz w:val="24"/>
        </w:rPr>
        <w:t>20</w:t>
      </w:r>
      <w:r w:rsidR="009C753E" w:rsidRPr="009C753E">
        <w:rPr>
          <w:b w:val="0"/>
          <w:bCs w:val="0"/>
          <w:sz w:val="24"/>
        </w:rPr>
        <w:t>20</w:t>
      </w:r>
      <w:r w:rsidR="003B67CC" w:rsidRPr="009C753E">
        <w:rPr>
          <w:b w:val="0"/>
          <w:bCs w:val="0"/>
          <w:sz w:val="24"/>
        </w:rPr>
        <w:t xml:space="preserve"> is</w:t>
      </w:r>
      <w:r w:rsidR="00B56E76" w:rsidRPr="009C753E">
        <w:rPr>
          <w:b w:val="0"/>
          <w:bCs w:val="0"/>
          <w:sz w:val="24"/>
        </w:rPr>
        <w:t xml:space="preserve"> shown below:</w:t>
      </w:r>
    </w:p>
    <w:p w14:paraId="09F8A9FE" w14:textId="77777777" w:rsidR="00B56E76" w:rsidRPr="009C753E" w:rsidRDefault="00B56E76" w:rsidP="00CE630C">
      <w:pPr>
        <w:pStyle w:val="Title"/>
        <w:contextualSpacing/>
        <w:jc w:val="both"/>
        <w:rPr>
          <w:b w:val="0"/>
          <w:bCs w:val="0"/>
          <w:sz w:val="24"/>
        </w:rPr>
      </w:pPr>
    </w:p>
    <w:tbl>
      <w:tblPr>
        <w:tblStyle w:val="TableGrid"/>
        <w:tblW w:w="0" w:type="auto"/>
        <w:tblInd w:w="108" w:type="dxa"/>
        <w:tblLayout w:type="fixed"/>
        <w:tblLook w:val="04A0" w:firstRow="1" w:lastRow="0" w:firstColumn="1" w:lastColumn="0" w:noHBand="0" w:noVBand="1"/>
      </w:tblPr>
      <w:tblGrid>
        <w:gridCol w:w="3600"/>
        <w:gridCol w:w="1680"/>
        <w:gridCol w:w="1680"/>
        <w:gridCol w:w="1680"/>
      </w:tblGrid>
      <w:tr w:rsidR="00B56E76" w:rsidRPr="009C753E" w14:paraId="05A2BC03" w14:textId="77777777" w:rsidTr="004B6D09">
        <w:tc>
          <w:tcPr>
            <w:tcW w:w="3600" w:type="dxa"/>
            <w:shd w:val="clear" w:color="auto" w:fill="auto"/>
            <w:vAlign w:val="center"/>
          </w:tcPr>
          <w:p w14:paraId="239E3ABC" w14:textId="77777777" w:rsidR="00B56E76" w:rsidRPr="009C753E" w:rsidRDefault="00B56E76" w:rsidP="00CE630C">
            <w:pPr>
              <w:pStyle w:val="Title"/>
              <w:contextualSpacing/>
              <w:rPr>
                <w:bCs w:val="0"/>
                <w:sz w:val="22"/>
                <w:szCs w:val="22"/>
              </w:rPr>
            </w:pPr>
            <w:r w:rsidRPr="009C753E">
              <w:rPr>
                <w:bCs w:val="0"/>
                <w:sz w:val="22"/>
                <w:szCs w:val="22"/>
              </w:rPr>
              <w:t>Status of Appointment</w:t>
            </w:r>
          </w:p>
        </w:tc>
        <w:tc>
          <w:tcPr>
            <w:tcW w:w="1680" w:type="dxa"/>
            <w:shd w:val="clear" w:color="auto" w:fill="auto"/>
            <w:vAlign w:val="center"/>
          </w:tcPr>
          <w:p w14:paraId="08400063" w14:textId="77777777" w:rsidR="00B56E76" w:rsidRPr="009C753E" w:rsidRDefault="00B56E76" w:rsidP="00CE630C">
            <w:pPr>
              <w:pStyle w:val="Title"/>
              <w:contextualSpacing/>
              <w:rPr>
                <w:bCs w:val="0"/>
                <w:sz w:val="22"/>
                <w:szCs w:val="22"/>
              </w:rPr>
            </w:pPr>
            <w:r w:rsidRPr="009C753E">
              <w:rPr>
                <w:bCs w:val="0"/>
                <w:sz w:val="22"/>
                <w:szCs w:val="22"/>
              </w:rPr>
              <w:t>Teaching</w:t>
            </w:r>
          </w:p>
        </w:tc>
        <w:tc>
          <w:tcPr>
            <w:tcW w:w="1680" w:type="dxa"/>
            <w:shd w:val="clear" w:color="auto" w:fill="auto"/>
            <w:vAlign w:val="center"/>
          </w:tcPr>
          <w:p w14:paraId="1A5B9163" w14:textId="77777777" w:rsidR="00B56E76" w:rsidRPr="009C753E" w:rsidRDefault="00B56E76" w:rsidP="00CE630C">
            <w:pPr>
              <w:pStyle w:val="Title"/>
              <w:contextualSpacing/>
              <w:rPr>
                <w:bCs w:val="0"/>
                <w:sz w:val="22"/>
                <w:szCs w:val="22"/>
              </w:rPr>
            </w:pPr>
            <w:r w:rsidRPr="009C753E">
              <w:rPr>
                <w:bCs w:val="0"/>
                <w:sz w:val="22"/>
                <w:szCs w:val="22"/>
              </w:rPr>
              <w:t>Non-Teaching</w:t>
            </w:r>
          </w:p>
        </w:tc>
        <w:tc>
          <w:tcPr>
            <w:tcW w:w="1680" w:type="dxa"/>
            <w:shd w:val="clear" w:color="auto" w:fill="auto"/>
            <w:vAlign w:val="center"/>
          </w:tcPr>
          <w:p w14:paraId="45E53804" w14:textId="77777777" w:rsidR="00B56E76" w:rsidRPr="009C753E" w:rsidRDefault="00B56E76" w:rsidP="00CE630C">
            <w:pPr>
              <w:pStyle w:val="Title"/>
              <w:contextualSpacing/>
              <w:rPr>
                <w:bCs w:val="0"/>
                <w:sz w:val="22"/>
                <w:szCs w:val="22"/>
              </w:rPr>
            </w:pPr>
            <w:r w:rsidRPr="009C753E">
              <w:rPr>
                <w:bCs w:val="0"/>
                <w:sz w:val="22"/>
                <w:szCs w:val="22"/>
              </w:rPr>
              <w:t>Total</w:t>
            </w:r>
          </w:p>
        </w:tc>
      </w:tr>
      <w:tr w:rsidR="00B56E76" w:rsidRPr="009C753E" w14:paraId="28D9EC87" w14:textId="77777777" w:rsidTr="004B6D09">
        <w:tc>
          <w:tcPr>
            <w:tcW w:w="3600" w:type="dxa"/>
          </w:tcPr>
          <w:p w14:paraId="4F13684D" w14:textId="77777777" w:rsidR="00B56E76" w:rsidRPr="009C753E" w:rsidRDefault="00B56E76" w:rsidP="00CE630C">
            <w:pPr>
              <w:pStyle w:val="Title"/>
              <w:contextualSpacing/>
              <w:jc w:val="both"/>
              <w:rPr>
                <w:b w:val="0"/>
                <w:bCs w:val="0"/>
                <w:sz w:val="22"/>
                <w:szCs w:val="22"/>
              </w:rPr>
            </w:pPr>
            <w:r w:rsidRPr="009C753E">
              <w:rPr>
                <w:b w:val="0"/>
                <w:bCs w:val="0"/>
                <w:sz w:val="22"/>
                <w:szCs w:val="22"/>
              </w:rPr>
              <w:t>Permanent</w:t>
            </w:r>
          </w:p>
        </w:tc>
        <w:tc>
          <w:tcPr>
            <w:tcW w:w="1680" w:type="dxa"/>
          </w:tcPr>
          <w:p w14:paraId="36952811" w14:textId="7F2524ED" w:rsidR="00B56E76" w:rsidRPr="009C753E" w:rsidRDefault="009C753E" w:rsidP="006D1168">
            <w:pPr>
              <w:pStyle w:val="Title"/>
              <w:contextualSpacing/>
              <w:rPr>
                <w:b w:val="0"/>
                <w:bCs w:val="0"/>
                <w:sz w:val="22"/>
                <w:szCs w:val="22"/>
              </w:rPr>
            </w:pPr>
            <w:r w:rsidRPr="009C753E">
              <w:rPr>
                <w:b w:val="0"/>
                <w:bCs w:val="0"/>
                <w:sz w:val="22"/>
                <w:szCs w:val="22"/>
              </w:rPr>
              <w:t>85</w:t>
            </w:r>
          </w:p>
        </w:tc>
        <w:tc>
          <w:tcPr>
            <w:tcW w:w="1680" w:type="dxa"/>
          </w:tcPr>
          <w:p w14:paraId="132EE2B4" w14:textId="0FCBD034" w:rsidR="00B56E76" w:rsidRPr="009C753E" w:rsidRDefault="009C753E" w:rsidP="006D1168">
            <w:pPr>
              <w:pStyle w:val="Title"/>
              <w:contextualSpacing/>
              <w:rPr>
                <w:b w:val="0"/>
                <w:bCs w:val="0"/>
                <w:sz w:val="22"/>
                <w:szCs w:val="22"/>
              </w:rPr>
            </w:pPr>
            <w:r w:rsidRPr="009C753E">
              <w:rPr>
                <w:b w:val="0"/>
                <w:bCs w:val="0"/>
                <w:sz w:val="22"/>
                <w:szCs w:val="22"/>
              </w:rPr>
              <w:t>46</w:t>
            </w:r>
          </w:p>
        </w:tc>
        <w:tc>
          <w:tcPr>
            <w:tcW w:w="1680" w:type="dxa"/>
          </w:tcPr>
          <w:p w14:paraId="08BBD4A8" w14:textId="77777777" w:rsidR="00B56E76" w:rsidRPr="009C753E" w:rsidRDefault="000917BF" w:rsidP="006D1168">
            <w:pPr>
              <w:pStyle w:val="Title"/>
              <w:contextualSpacing/>
              <w:rPr>
                <w:b w:val="0"/>
                <w:bCs w:val="0"/>
                <w:sz w:val="22"/>
                <w:szCs w:val="22"/>
              </w:rPr>
            </w:pPr>
            <w:r w:rsidRPr="009C753E">
              <w:rPr>
                <w:b w:val="0"/>
                <w:bCs w:val="0"/>
                <w:sz w:val="22"/>
                <w:szCs w:val="22"/>
              </w:rPr>
              <w:t>1</w:t>
            </w:r>
            <w:r w:rsidR="006D1168" w:rsidRPr="009C753E">
              <w:rPr>
                <w:b w:val="0"/>
                <w:bCs w:val="0"/>
                <w:sz w:val="22"/>
                <w:szCs w:val="22"/>
              </w:rPr>
              <w:t>31</w:t>
            </w:r>
          </w:p>
        </w:tc>
      </w:tr>
      <w:tr w:rsidR="00B56E76" w:rsidRPr="009C753E" w14:paraId="47FDF058" w14:textId="77777777" w:rsidTr="004B6D09">
        <w:tc>
          <w:tcPr>
            <w:tcW w:w="3600" w:type="dxa"/>
          </w:tcPr>
          <w:p w14:paraId="4B53B30F" w14:textId="77777777" w:rsidR="00B56E76" w:rsidRPr="009C753E" w:rsidRDefault="00B56E76" w:rsidP="00CE630C">
            <w:pPr>
              <w:pStyle w:val="Title"/>
              <w:contextualSpacing/>
              <w:jc w:val="both"/>
              <w:rPr>
                <w:b w:val="0"/>
                <w:bCs w:val="0"/>
                <w:sz w:val="22"/>
                <w:szCs w:val="22"/>
              </w:rPr>
            </w:pPr>
            <w:r w:rsidRPr="009C753E">
              <w:rPr>
                <w:b w:val="0"/>
                <w:bCs w:val="0"/>
                <w:sz w:val="22"/>
                <w:szCs w:val="22"/>
              </w:rPr>
              <w:t>Temporary</w:t>
            </w:r>
          </w:p>
        </w:tc>
        <w:tc>
          <w:tcPr>
            <w:tcW w:w="1680" w:type="dxa"/>
          </w:tcPr>
          <w:p w14:paraId="6509333E" w14:textId="7FA5455E" w:rsidR="00B56E76" w:rsidRPr="009C753E" w:rsidRDefault="009C753E" w:rsidP="006D1168">
            <w:pPr>
              <w:pStyle w:val="Title"/>
              <w:contextualSpacing/>
              <w:rPr>
                <w:b w:val="0"/>
                <w:bCs w:val="0"/>
                <w:sz w:val="22"/>
                <w:szCs w:val="22"/>
              </w:rPr>
            </w:pPr>
            <w:r w:rsidRPr="009C753E">
              <w:rPr>
                <w:b w:val="0"/>
                <w:bCs w:val="0"/>
                <w:sz w:val="22"/>
                <w:szCs w:val="22"/>
              </w:rPr>
              <w:t>50</w:t>
            </w:r>
          </w:p>
        </w:tc>
        <w:tc>
          <w:tcPr>
            <w:tcW w:w="1680" w:type="dxa"/>
          </w:tcPr>
          <w:p w14:paraId="2CFFC7D6" w14:textId="77777777" w:rsidR="00B56E76" w:rsidRPr="009C753E" w:rsidRDefault="000917BF" w:rsidP="0049248D">
            <w:pPr>
              <w:pStyle w:val="Title"/>
              <w:contextualSpacing/>
              <w:rPr>
                <w:b w:val="0"/>
                <w:bCs w:val="0"/>
                <w:sz w:val="22"/>
                <w:szCs w:val="22"/>
              </w:rPr>
            </w:pPr>
            <w:r w:rsidRPr="009C753E">
              <w:rPr>
                <w:b w:val="0"/>
                <w:bCs w:val="0"/>
                <w:sz w:val="22"/>
                <w:szCs w:val="22"/>
              </w:rPr>
              <w:t>0</w:t>
            </w:r>
          </w:p>
        </w:tc>
        <w:tc>
          <w:tcPr>
            <w:tcW w:w="1680" w:type="dxa"/>
          </w:tcPr>
          <w:p w14:paraId="6BA22F50" w14:textId="788D9251" w:rsidR="00B56E76" w:rsidRPr="009C753E" w:rsidRDefault="002A4428" w:rsidP="006D1168">
            <w:pPr>
              <w:pStyle w:val="Title"/>
              <w:contextualSpacing/>
              <w:rPr>
                <w:b w:val="0"/>
                <w:bCs w:val="0"/>
                <w:sz w:val="22"/>
                <w:szCs w:val="22"/>
              </w:rPr>
            </w:pPr>
            <w:r>
              <w:rPr>
                <w:b w:val="0"/>
                <w:bCs w:val="0"/>
                <w:sz w:val="22"/>
                <w:szCs w:val="22"/>
              </w:rPr>
              <w:t xml:space="preserve">  </w:t>
            </w:r>
            <w:r w:rsidR="006D1168" w:rsidRPr="009C753E">
              <w:rPr>
                <w:b w:val="0"/>
                <w:bCs w:val="0"/>
                <w:sz w:val="22"/>
                <w:szCs w:val="22"/>
              </w:rPr>
              <w:t>5</w:t>
            </w:r>
            <w:r w:rsidR="009C753E">
              <w:rPr>
                <w:b w:val="0"/>
                <w:bCs w:val="0"/>
                <w:sz w:val="22"/>
                <w:szCs w:val="22"/>
              </w:rPr>
              <w:t>0</w:t>
            </w:r>
          </w:p>
        </w:tc>
      </w:tr>
      <w:tr w:rsidR="00B56E76" w:rsidRPr="009C753E" w14:paraId="7630752E" w14:textId="77777777" w:rsidTr="004B6D09">
        <w:tc>
          <w:tcPr>
            <w:tcW w:w="3600" w:type="dxa"/>
          </w:tcPr>
          <w:p w14:paraId="73FA498A" w14:textId="77777777" w:rsidR="00B56E76" w:rsidRPr="009C753E" w:rsidRDefault="00B56E76" w:rsidP="00B23FF2">
            <w:pPr>
              <w:pStyle w:val="Title"/>
              <w:contextualSpacing/>
              <w:jc w:val="both"/>
              <w:rPr>
                <w:b w:val="0"/>
                <w:bCs w:val="0"/>
                <w:sz w:val="22"/>
                <w:szCs w:val="22"/>
              </w:rPr>
            </w:pPr>
            <w:r w:rsidRPr="009C753E">
              <w:rPr>
                <w:b w:val="0"/>
                <w:bCs w:val="0"/>
                <w:sz w:val="22"/>
                <w:szCs w:val="22"/>
              </w:rPr>
              <w:t>Contractual /</w:t>
            </w:r>
            <w:r w:rsidR="00B23FF2" w:rsidRPr="009C753E">
              <w:rPr>
                <w:b w:val="0"/>
                <w:bCs w:val="0"/>
                <w:sz w:val="22"/>
                <w:szCs w:val="22"/>
              </w:rPr>
              <w:t>Part Timer</w:t>
            </w:r>
          </w:p>
        </w:tc>
        <w:tc>
          <w:tcPr>
            <w:tcW w:w="1680" w:type="dxa"/>
          </w:tcPr>
          <w:p w14:paraId="63E430B6" w14:textId="3317205B" w:rsidR="00B56E76" w:rsidRPr="009C753E" w:rsidRDefault="00B56E76" w:rsidP="006D1168">
            <w:pPr>
              <w:pStyle w:val="Title"/>
              <w:contextualSpacing/>
              <w:rPr>
                <w:b w:val="0"/>
                <w:bCs w:val="0"/>
                <w:sz w:val="22"/>
                <w:szCs w:val="22"/>
              </w:rPr>
            </w:pPr>
          </w:p>
        </w:tc>
        <w:tc>
          <w:tcPr>
            <w:tcW w:w="1680" w:type="dxa"/>
          </w:tcPr>
          <w:p w14:paraId="442DA071" w14:textId="607B5031" w:rsidR="00B56E76" w:rsidRPr="009C753E" w:rsidRDefault="009C753E" w:rsidP="0049248D">
            <w:pPr>
              <w:pStyle w:val="Title"/>
              <w:contextualSpacing/>
              <w:rPr>
                <w:b w:val="0"/>
                <w:bCs w:val="0"/>
                <w:sz w:val="22"/>
                <w:szCs w:val="22"/>
              </w:rPr>
            </w:pPr>
            <w:r w:rsidRPr="009C753E">
              <w:rPr>
                <w:b w:val="0"/>
                <w:bCs w:val="0"/>
                <w:sz w:val="22"/>
                <w:szCs w:val="22"/>
              </w:rPr>
              <w:t>24</w:t>
            </w:r>
          </w:p>
        </w:tc>
        <w:tc>
          <w:tcPr>
            <w:tcW w:w="1680" w:type="dxa"/>
          </w:tcPr>
          <w:p w14:paraId="2570DF3A" w14:textId="462B651A" w:rsidR="006D1168" w:rsidRPr="009C753E" w:rsidRDefault="002A4428" w:rsidP="006D1168">
            <w:pPr>
              <w:pStyle w:val="Title"/>
              <w:contextualSpacing/>
              <w:rPr>
                <w:b w:val="0"/>
                <w:bCs w:val="0"/>
                <w:sz w:val="22"/>
                <w:szCs w:val="22"/>
              </w:rPr>
            </w:pPr>
            <w:r>
              <w:rPr>
                <w:b w:val="0"/>
                <w:bCs w:val="0"/>
                <w:sz w:val="22"/>
                <w:szCs w:val="22"/>
              </w:rPr>
              <w:t xml:space="preserve">  </w:t>
            </w:r>
            <w:r w:rsidR="006D1168" w:rsidRPr="009C753E">
              <w:rPr>
                <w:b w:val="0"/>
                <w:bCs w:val="0"/>
                <w:sz w:val="22"/>
                <w:szCs w:val="22"/>
              </w:rPr>
              <w:t>2</w:t>
            </w:r>
            <w:r w:rsidR="009C753E">
              <w:rPr>
                <w:b w:val="0"/>
                <w:bCs w:val="0"/>
                <w:sz w:val="22"/>
                <w:szCs w:val="22"/>
              </w:rPr>
              <w:t>4</w:t>
            </w:r>
          </w:p>
        </w:tc>
      </w:tr>
      <w:tr w:rsidR="00B56E76" w:rsidRPr="00D61779" w14:paraId="3A123296" w14:textId="77777777" w:rsidTr="004B6D09">
        <w:tc>
          <w:tcPr>
            <w:tcW w:w="3600" w:type="dxa"/>
          </w:tcPr>
          <w:p w14:paraId="3C0C5FFF" w14:textId="77777777" w:rsidR="00B56E76" w:rsidRPr="009C753E" w:rsidRDefault="00B23FF2" w:rsidP="00CE630C">
            <w:pPr>
              <w:pStyle w:val="Title"/>
              <w:contextualSpacing/>
              <w:jc w:val="both"/>
              <w:rPr>
                <w:b w:val="0"/>
                <w:bCs w:val="0"/>
                <w:sz w:val="22"/>
                <w:szCs w:val="22"/>
              </w:rPr>
            </w:pPr>
            <w:r w:rsidRPr="009C753E">
              <w:rPr>
                <w:b w:val="0"/>
                <w:bCs w:val="0"/>
                <w:sz w:val="22"/>
                <w:szCs w:val="22"/>
              </w:rPr>
              <w:t>Job-Order</w:t>
            </w:r>
          </w:p>
        </w:tc>
        <w:tc>
          <w:tcPr>
            <w:tcW w:w="1680" w:type="dxa"/>
          </w:tcPr>
          <w:p w14:paraId="41CB7DE6" w14:textId="5BB51C96" w:rsidR="00B56E76" w:rsidRPr="009C753E" w:rsidRDefault="00B56E76" w:rsidP="0049248D">
            <w:pPr>
              <w:pStyle w:val="Title"/>
              <w:contextualSpacing/>
              <w:rPr>
                <w:b w:val="0"/>
                <w:bCs w:val="0"/>
                <w:sz w:val="22"/>
                <w:szCs w:val="22"/>
              </w:rPr>
            </w:pPr>
          </w:p>
        </w:tc>
        <w:tc>
          <w:tcPr>
            <w:tcW w:w="1680" w:type="dxa"/>
          </w:tcPr>
          <w:p w14:paraId="36A9A63D" w14:textId="4348D235" w:rsidR="00B56E76" w:rsidRPr="009C753E" w:rsidRDefault="009C753E" w:rsidP="00FA0663">
            <w:pPr>
              <w:pStyle w:val="Title"/>
              <w:contextualSpacing/>
              <w:rPr>
                <w:b w:val="0"/>
                <w:bCs w:val="0"/>
                <w:sz w:val="22"/>
                <w:szCs w:val="22"/>
              </w:rPr>
            </w:pPr>
            <w:r w:rsidRPr="009C753E">
              <w:rPr>
                <w:b w:val="0"/>
                <w:bCs w:val="0"/>
                <w:sz w:val="22"/>
                <w:szCs w:val="22"/>
              </w:rPr>
              <w:t>64</w:t>
            </w:r>
          </w:p>
        </w:tc>
        <w:tc>
          <w:tcPr>
            <w:tcW w:w="1680" w:type="dxa"/>
          </w:tcPr>
          <w:p w14:paraId="255B4927" w14:textId="672DA914" w:rsidR="00B56E76" w:rsidRPr="009C753E" w:rsidRDefault="002A4428" w:rsidP="00FA0663">
            <w:pPr>
              <w:pStyle w:val="Title"/>
              <w:contextualSpacing/>
              <w:rPr>
                <w:b w:val="0"/>
                <w:bCs w:val="0"/>
                <w:sz w:val="22"/>
                <w:szCs w:val="22"/>
              </w:rPr>
            </w:pPr>
            <w:r>
              <w:rPr>
                <w:b w:val="0"/>
                <w:bCs w:val="0"/>
                <w:sz w:val="22"/>
                <w:szCs w:val="22"/>
              </w:rPr>
              <w:t xml:space="preserve">  </w:t>
            </w:r>
            <w:r w:rsidR="00FA0663" w:rsidRPr="009C753E">
              <w:rPr>
                <w:b w:val="0"/>
                <w:bCs w:val="0"/>
                <w:sz w:val="22"/>
                <w:szCs w:val="22"/>
              </w:rPr>
              <w:t>6</w:t>
            </w:r>
            <w:r w:rsidR="009C753E">
              <w:rPr>
                <w:b w:val="0"/>
                <w:bCs w:val="0"/>
                <w:sz w:val="22"/>
                <w:szCs w:val="22"/>
              </w:rPr>
              <w:t>4</w:t>
            </w:r>
          </w:p>
        </w:tc>
      </w:tr>
      <w:tr w:rsidR="00B23FF2" w:rsidRPr="009C753E" w14:paraId="3668EE61" w14:textId="77777777" w:rsidTr="004B6D09">
        <w:tc>
          <w:tcPr>
            <w:tcW w:w="3600" w:type="dxa"/>
          </w:tcPr>
          <w:p w14:paraId="672B8107" w14:textId="77777777" w:rsidR="00B23FF2" w:rsidRPr="009C753E" w:rsidRDefault="00B23FF2" w:rsidP="00CE630C">
            <w:pPr>
              <w:pStyle w:val="Title"/>
              <w:contextualSpacing/>
              <w:jc w:val="both"/>
              <w:rPr>
                <w:bCs w:val="0"/>
                <w:sz w:val="22"/>
                <w:szCs w:val="22"/>
              </w:rPr>
            </w:pPr>
            <w:r w:rsidRPr="009C753E">
              <w:rPr>
                <w:bCs w:val="0"/>
                <w:sz w:val="22"/>
                <w:szCs w:val="22"/>
              </w:rPr>
              <w:t>Total</w:t>
            </w:r>
          </w:p>
        </w:tc>
        <w:tc>
          <w:tcPr>
            <w:tcW w:w="1680" w:type="dxa"/>
          </w:tcPr>
          <w:p w14:paraId="0B01CFE6" w14:textId="0B71A15F" w:rsidR="00B23FF2" w:rsidRPr="009C753E" w:rsidRDefault="00B830B7" w:rsidP="00FA0663">
            <w:pPr>
              <w:pStyle w:val="Title"/>
              <w:contextualSpacing/>
              <w:rPr>
                <w:bCs w:val="0"/>
                <w:sz w:val="22"/>
                <w:szCs w:val="22"/>
              </w:rPr>
            </w:pPr>
            <w:r w:rsidRPr="009C753E">
              <w:rPr>
                <w:bCs w:val="0"/>
                <w:sz w:val="22"/>
                <w:szCs w:val="22"/>
              </w:rPr>
              <w:t>1</w:t>
            </w:r>
            <w:r w:rsidR="009C753E" w:rsidRPr="009C753E">
              <w:rPr>
                <w:bCs w:val="0"/>
                <w:sz w:val="22"/>
                <w:szCs w:val="22"/>
              </w:rPr>
              <w:t>3</w:t>
            </w:r>
            <w:r w:rsidR="006D1168" w:rsidRPr="009C753E">
              <w:rPr>
                <w:bCs w:val="0"/>
                <w:sz w:val="22"/>
                <w:szCs w:val="22"/>
              </w:rPr>
              <w:t>5</w:t>
            </w:r>
          </w:p>
        </w:tc>
        <w:tc>
          <w:tcPr>
            <w:tcW w:w="1680" w:type="dxa"/>
          </w:tcPr>
          <w:p w14:paraId="5F9162AD" w14:textId="7E612B95" w:rsidR="00B23FF2" w:rsidRPr="009C753E" w:rsidRDefault="006D1168" w:rsidP="00FA0663">
            <w:pPr>
              <w:pStyle w:val="Title"/>
              <w:contextualSpacing/>
              <w:rPr>
                <w:bCs w:val="0"/>
                <w:sz w:val="22"/>
                <w:szCs w:val="22"/>
              </w:rPr>
            </w:pPr>
            <w:r w:rsidRPr="009C753E">
              <w:rPr>
                <w:bCs w:val="0"/>
                <w:sz w:val="22"/>
                <w:szCs w:val="22"/>
              </w:rPr>
              <w:t>1</w:t>
            </w:r>
            <w:r w:rsidR="009C753E" w:rsidRPr="009C753E">
              <w:rPr>
                <w:bCs w:val="0"/>
                <w:sz w:val="22"/>
                <w:szCs w:val="22"/>
              </w:rPr>
              <w:t>34</w:t>
            </w:r>
          </w:p>
        </w:tc>
        <w:tc>
          <w:tcPr>
            <w:tcW w:w="1680" w:type="dxa"/>
          </w:tcPr>
          <w:p w14:paraId="6783628F" w14:textId="70C98BC1" w:rsidR="00B23FF2" w:rsidRPr="009C753E" w:rsidRDefault="00FA0663" w:rsidP="006D1168">
            <w:pPr>
              <w:pStyle w:val="Title"/>
              <w:contextualSpacing/>
              <w:rPr>
                <w:bCs w:val="0"/>
                <w:sz w:val="22"/>
                <w:szCs w:val="22"/>
              </w:rPr>
            </w:pPr>
            <w:r w:rsidRPr="009C753E">
              <w:rPr>
                <w:bCs w:val="0"/>
                <w:sz w:val="22"/>
                <w:szCs w:val="22"/>
              </w:rPr>
              <w:t>2</w:t>
            </w:r>
            <w:r w:rsidR="006D1168" w:rsidRPr="009C753E">
              <w:rPr>
                <w:bCs w:val="0"/>
                <w:sz w:val="22"/>
                <w:szCs w:val="22"/>
              </w:rPr>
              <w:t>6</w:t>
            </w:r>
            <w:r w:rsidR="009C753E" w:rsidRPr="009C753E">
              <w:rPr>
                <w:bCs w:val="0"/>
                <w:sz w:val="22"/>
                <w:szCs w:val="22"/>
              </w:rPr>
              <w:t>9</w:t>
            </w:r>
          </w:p>
        </w:tc>
      </w:tr>
    </w:tbl>
    <w:p w14:paraId="728DBE53" w14:textId="77777777" w:rsidR="00054CB7" w:rsidRPr="009C753E" w:rsidRDefault="00054CB7" w:rsidP="00B513D1">
      <w:pPr>
        <w:jc w:val="both"/>
        <w:rPr>
          <w:b/>
          <w:sz w:val="24"/>
          <w:szCs w:val="24"/>
        </w:rPr>
      </w:pPr>
    </w:p>
    <w:p w14:paraId="42CB741B" w14:textId="77777777" w:rsidR="00C24135" w:rsidRPr="009C753E" w:rsidRDefault="00C24135" w:rsidP="00B513D1">
      <w:pPr>
        <w:jc w:val="both"/>
        <w:rPr>
          <w:b/>
          <w:sz w:val="24"/>
          <w:szCs w:val="24"/>
        </w:rPr>
      </w:pPr>
    </w:p>
    <w:p w14:paraId="123216B0" w14:textId="77777777" w:rsidR="001D409D" w:rsidRPr="009C753E" w:rsidRDefault="001D409D" w:rsidP="00C24135">
      <w:pPr>
        <w:pStyle w:val="Heading1"/>
        <w:numPr>
          <w:ilvl w:val="0"/>
          <w:numId w:val="2"/>
        </w:numPr>
        <w:rPr>
          <w:i/>
        </w:rPr>
      </w:pPr>
      <w:r w:rsidRPr="009C753E">
        <w:rPr>
          <w:i/>
        </w:rPr>
        <w:t>Financial Highlights</w:t>
      </w:r>
    </w:p>
    <w:p w14:paraId="269D207A" w14:textId="77777777" w:rsidR="001D409D" w:rsidRPr="00D7356B" w:rsidRDefault="001D409D" w:rsidP="00CE630C">
      <w:pPr>
        <w:tabs>
          <w:tab w:val="left" w:pos="270"/>
        </w:tabs>
        <w:contextualSpacing/>
        <w:jc w:val="both"/>
        <w:rPr>
          <w:rFonts w:ascii="Times New Roman" w:hAnsi="Times New Roman"/>
          <w:sz w:val="24"/>
          <w:szCs w:val="24"/>
        </w:rPr>
      </w:pPr>
    </w:p>
    <w:p w14:paraId="74F3A72F" w14:textId="2D91188E" w:rsidR="001D409D" w:rsidRPr="00A45D60" w:rsidRDefault="001D409D" w:rsidP="00C24135">
      <w:pPr>
        <w:ind w:firstLine="360"/>
        <w:contextualSpacing/>
        <w:jc w:val="both"/>
        <w:rPr>
          <w:rFonts w:ascii="Times New Roman" w:hAnsi="Times New Roman"/>
          <w:sz w:val="24"/>
          <w:szCs w:val="24"/>
        </w:rPr>
      </w:pPr>
      <w:r w:rsidRPr="00A45D60">
        <w:rPr>
          <w:rFonts w:ascii="Times New Roman" w:hAnsi="Times New Roman"/>
          <w:sz w:val="24"/>
          <w:szCs w:val="24"/>
        </w:rPr>
        <w:t xml:space="preserve">The agency’s financial condition and </w:t>
      </w:r>
      <w:r w:rsidR="00A45C09" w:rsidRPr="00A45D60">
        <w:rPr>
          <w:rFonts w:ascii="Times New Roman" w:hAnsi="Times New Roman"/>
          <w:sz w:val="24"/>
          <w:szCs w:val="24"/>
        </w:rPr>
        <w:t>results of operation for CY 20</w:t>
      </w:r>
      <w:r w:rsidR="008D4803" w:rsidRPr="00A45D60">
        <w:rPr>
          <w:rFonts w:ascii="Times New Roman" w:hAnsi="Times New Roman"/>
          <w:sz w:val="24"/>
          <w:szCs w:val="24"/>
        </w:rPr>
        <w:t>20</w:t>
      </w:r>
      <w:r w:rsidRPr="00A45D60">
        <w:rPr>
          <w:rFonts w:ascii="Times New Roman" w:hAnsi="Times New Roman"/>
          <w:sz w:val="24"/>
          <w:szCs w:val="24"/>
        </w:rPr>
        <w:t xml:space="preserve"> with</w:t>
      </w:r>
      <w:r w:rsidR="00A45C09" w:rsidRPr="00A45D60">
        <w:rPr>
          <w:rFonts w:ascii="Times New Roman" w:hAnsi="Times New Roman"/>
          <w:sz w:val="24"/>
          <w:szCs w:val="24"/>
        </w:rPr>
        <w:t xml:space="preserve"> comparative figures for CY 20</w:t>
      </w:r>
      <w:r w:rsidR="008D4803" w:rsidRPr="00A45D60">
        <w:rPr>
          <w:rFonts w:ascii="Times New Roman" w:hAnsi="Times New Roman"/>
          <w:sz w:val="24"/>
          <w:szCs w:val="24"/>
        </w:rPr>
        <w:t>19</w:t>
      </w:r>
      <w:r w:rsidRPr="00A45D60">
        <w:rPr>
          <w:rFonts w:ascii="Times New Roman" w:hAnsi="Times New Roman"/>
          <w:sz w:val="24"/>
          <w:szCs w:val="24"/>
        </w:rPr>
        <w:t xml:space="preserve"> follow:</w:t>
      </w:r>
    </w:p>
    <w:tbl>
      <w:tblPr>
        <w:tblpPr w:leftFromText="180" w:rightFromText="180" w:vertAnchor="text" w:horzAnchor="margin" w:tblpX="108" w:tblpY="174"/>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984"/>
        <w:gridCol w:w="1843"/>
        <w:gridCol w:w="1150"/>
      </w:tblGrid>
      <w:tr w:rsidR="00F954E2" w:rsidRPr="00A45D60" w14:paraId="28C2C562" w14:textId="77777777" w:rsidTr="00EC2A04">
        <w:trPr>
          <w:trHeight w:val="495"/>
        </w:trPr>
        <w:tc>
          <w:tcPr>
            <w:tcW w:w="1838" w:type="dxa"/>
            <w:shd w:val="clear" w:color="auto" w:fill="auto"/>
            <w:vAlign w:val="center"/>
          </w:tcPr>
          <w:p w14:paraId="42619F20" w14:textId="77777777" w:rsidR="00F954E2" w:rsidRPr="00A45D60" w:rsidRDefault="00F954E2" w:rsidP="006A060A">
            <w:pPr>
              <w:contextualSpacing/>
              <w:jc w:val="center"/>
              <w:rPr>
                <w:rFonts w:ascii="Times New Roman" w:hAnsi="Times New Roman"/>
                <w:b/>
                <w:szCs w:val="22"/>
              </w:rPr>
            </w:pPr>
            <w:r w:rsidRPr="00A45D60">
              <w:rPr>
                <w:rFonts w:ascii="Times New Roman" w:hAnsi="Times New Roman"/>
                <w:b/>
                <w:szCs w:val="22"/>
              </w:rPr>
              <w:t>Particulars</w:t>
            </w:r>
          </w:p>
        </w:tc>
        <w:tc>
          <w:tcPr>
            <w:tcW w:w="1843" w:type="dxa"/>
            <w:shd w:val="clear" w:color="auto" w:fill="auto"/>
            <w:vAlign w:val="center"/>
          </w:tcPr>
          <w:p w14:paraId="36225B94" w14:textId="0119746E" w:rsidR="00F954E2" w:rsidRPr="00A45D60" w:rsidRDefault="00F954E2" w:rsidP="00881AE2">
            <w:pPr>
              <w:contextualSpacing/>
              <w:jc w:val="center"/>
              <w:rPr>
                <w:rFonts w:ascii="Times New Roman" w:hAnsi="Times New Roman"/>
                <w:b/>
                <w:szCs w:val="22"/>
              </w:rPr>
            </w:pPr>
            <w:r w:rsidRPr="00A45D60">
              <w:rPr>
                <w:rFonts w:ascii="Times New Roman" w:hAnsi="Times New Roman"/>
                <w:b/>
                <w:szCs w:val="22"/>
              </w:rPr>
              <w:t>20</w:t>
            </w:r>
            <w:r w:rsidR="00C95D10">
              <w:rPr>
                <w:rFonts w:ascii="Times New Roman" w:hAnsi="Times New Roman"/>
                <w:b/>
                <w:szCs w:val="22"/>
              </w:rPr>
              <w:t>20</w:t>
            </w:r>
          </w:p>
        </w:tc>
        <w:tc>
          <w:tcPr>
            <w:tcW w:w="1984" w:type="dxa"/>
            <w:shd w:val="clear" w:color="auto" w:fill="auto"/>
            <w:vAlign w:val="center"/>
          </w:tcPr>
          <w:p w14:paraId="5F200525" w14:textId="51933CD0" w:rsidR="00F954E2" w:rsidRPr="00A45D60" w:rsidRDefault="000917BF" w:rsidP="00881AE2">
            <w:pPr>
              <w:contextualSpacing/>
              <w:jc w:val="center"/>
              <w:rPr>
                <w:rFonts w:ascii="Times New Roman" w:hAnsi="Times New Roman"/>
                <w:b/>
                <w:szCs w:val="22"/>
              </w:rPr>
            </w:pPr>
            <w:r w:rsidRPr="00A45D60">
              <w:rPr>
                <w:rFonts w:ascii="Times New Roman" w:hAnsi="Times New Roman"/>
                <w:b/>
                <w:szCs w:val="22"/>
              </w:rPr>
              <w:t>201</w:t>
            </w:r>
            <w:r w:rsidR="008D4803" w:rsidRPr="00A45D60">
              <w:rPr>
                <w:rFonts w:ascii="Times New Roman" w:hAnsi="Times New Roman"/>
                <w:b/>
                <w:szCs w:val="22"/>
              </w:rPr>
              <w:t>9</w:t>
            </w:r>
          </w:p>
        </w:tc>
        <w:tc>
          <w:tcPr>
            <w:tcW w:w="1843" w:type="dxa"/>
            <w:shd w:val="clear" w:color="auto" w:fill="auto"/>
            <w:vAlign w:val="center"/>
          </w:tcPr>
          <w:p w14:paraId="6A72481C" w14:textId="77777777" w:rsidR="00F954E2" w:rsidRPr="00A45D60" w:rsidRDefault="00F954E2" w:rsidP="006A060A">
            <w:pPr>
              <w:contextualSpacing/>
              <w:jc w:val="center"/>
              <w:rPr>
                <w:rFonts w:ascii="Times New Roman" w:hAnsi="Times New Roman"/>
                <w:b/>
                <w:szCs w:val="22"/>
              </w:rPr>
            </w:pPr>
            <w:r w:rsidRPr="00A45D60">
              <w:rPr>
                <w:rFonts w:ascii="Times New Roman" w:hAnsi="Times New Roman"/>
                <w:b/>
                <w:szCs w:val="22"/>
              </w:rPr>
              <w:t>Increase</w:t>
            </w:r>
            <w:r w:rsidR="00C24135" w:rsidRPr="00A45D60">
              <w:rPr>
                <w:rFonts w:ascii="Times New Roman" w:hAnsi="Times New Roman"/>
                <w:b/>
                <w:szCs w:val="22"/>
              </w:rPr>
              <w:t xml:space="preserve"> (</w:t>
            </w:r>
            <w:r w:rsidRPr="00A45D60">
              <w:rPr>
                <w:rFonts w:ascii="Times New Roman" w:hAnsi="Times New Roman"/>
                <w:b/>
                <w:szCs w:val="22"/>
              </w:rPr>
              <w:t>Decrease</w:t>
            </w:r>
            <w:r w:rsidR="00C24135" w:rsidRPr="00A45D60">
              <w:rPr>
                <w:rFonts w:ascii="Times New Roman" w:hAnsi="Times New Roman"/>
                <w:b/>
                <w:szCs w:val="22"/>
              </w:rPr>
              <w:t>)</w:t>
            </w:r>
          </w:p>
        </w:tc>
        <w:tc>
          <w:tcPr>
            <w:tcW w:w="1150" w:type="dxa"/>
            <w:shd w:val="clear" w:color="auto" w:fill="auto"/>
            <w:vAlign w:val="center"/>
          </w:tcPr>
          <w:p w14:paraId="3D455B0D" w14:textId="77777777" w:rsidR="00C24135" w:rsidRPr="00A45D60" w:rsidRDefault="00C24135" w:rsidP="00C24135">
            <w:pPr>
              <w:contextualSpacing/>
              <w:jc w:val="center"/>
              <w:rPr>
                <w:rFonts w:ascii="Times New Roman" w:hAnsi="Times New Roman"/>
                <w:b/>
                <w:szCs w:val="22"/>
              </w:rPr>
            </w:pPr>
            <w:r w:rsidRPr="00A45D60">
              <w:rPr>
                <w:rFonts w:ascii="Times New Roman" w:hAnsi="Times New Roman"/>
                <w:b/>
                <w:szCs w:val="22"/>
              </w:rPr>
              <w:t>%</w:t>
            </w:r>
          </w:p>
        </w:tc>
      </w:tr>
      <w:tr w:rsidR="00E72D70" w:rsidRPr="00A45D60" w14:paraId="51F1D14D" w14:textId="77777777" w:rsidTr="0049248D">
        <w:trPr>
          <w:trHeight w:val="233"/>
        </w:trPr>
        <w:tc>
          <w:tcPr>
            <w:tcW w:w="8658" w:type="dxa"/>
            <w:gridSpan w:val="5"/>
          </w:tcPr>
          <w:p w14:paraId="531B1B44" w14:textId="77777777" w:rsidR="00E72D70" w:rsidRPr="00A45D60" w:rsidRDefault="00E72D70" w:rsidP="00CE630C">
            <w:pPr>
              <w:contextualSpacing/>
              <w:jc w:val="both"/>
              <w:rPr>
                <w:rFonts w:ascii="Times New Roman" w:hAnsi="Times New Roman"/>
                <w:szCs w:val="22"/>
              </w:rPr>
            </w:pPr>
            <w:r w:rsidRPr="00A45D60">
              <w:rPr>
                <w:rFonts w:ascii="Times New Roman" w:hAnsi="Times New Roman"/>
                <w:b/>
                <w:szCs w:val="22"/>
              </w:rPr>
              <w:t>Financial Condition</w:t>
            </w:r>
          </w:p>
        </w:tc>
      </w:tr>
      <w:tr w:rsidR="00881AE2" w:rsidRPr="00A45D60" w14:paraId="137EA5D5" w14:textId="77777777" w:rsidTr="00EC2A04">
        <w:trPr>
          <w:trHeight w:val="200"/>
        </w:trPr>
        <w:tc>
          <w:tcPr>
            <w:tcW w:w="1838" w:type="dxa"/>
          </w:tcPr>
          <w:p w14:paraId="44F74965"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Total Assets</w:t>
            </w:r>
          </w:p>
        </w:tc>
        <w:tc>
          <w:tcPr>
            <w:tcW w:w="1843" w:type="dxa"/>
            <w:vAlign w:val="center"/>
          </w:tcPr>
          <w:p w14:paraId="5DC77A09" w14:textId="0CE0E4F7" w:rsidR="00881AE2" w:rsidRPr="007F09FB" w:rsidRDefault="00881AE2" w:rsidP="00881AE2">
            <w:pPr>
              <w:jc w:val="right"/>
              <w:rPr>
                <w:rFonts w:ascii="Times New Roman" w:hAnsi="Times New Roman"/>
                <w:szCs w:val="22"/>
              </w:rPr>
            </w:pPr>
            <w:r w:rsidRPr="007F09FB">
              <w:rPr>
                <w:rFonts w:ascii="Times New Roman" w:hAnsi="Times New Roman"/>
                <w:szCs w:val="22"/>
              </w:rPr>
              <w:t xml:space="preserve"> </w:t>
            </w:r>
            <w:r w:rsidR="002A4428" w:rsidRPr="007F09FB">
              <w:rPr>
                <w:rFonts w:ascii="Times New Roman" w:hAnsi="Times New Roman"/>
                <w:bCs/>
                <w:iCs/>
                <w:szCs w:val="22"/>
              </w:rPr>
              <w:t>₱</w:t>
            </w:r>
            <w:r w:rsidR="008D4803" w:rsidRPr="007F09FB">
              <w:rPr>
                <w:rFonts w:ascii="Times New Roman" w:hAnsi="Times New Roman"/>
                <w:szCs w:val="22"/>
              </w:rPr>
              <w:t>490,868,37</w:t>
            </w:r>
            <w:r w:rsidR="002A4428" w:rsidRPr="007F09FB">
              <w:rPr>
                <w:rFonts w:ascii="Times New Roman" w:hAnsi="Times New Roman"/>
                <w:szCs w:val="22"/>
              </w:rPr>
              <w:t>7.99</w:t>
            </w:r>
            <w:r w:rsidRPr="007F09FB">
              <w:rPr>
                <w:rFonts w:ascii="Times New Roman" w:hAnsi="Times New Roman"/>
                <w:szCs w:val="22"/>
              </w:rPr>
              <w:t xml:space="preserve"> </w:t>
            </w:r>
          </w:p>
        </w:tc>
        <w:tc>
          <w:tcPr>
            <w:tcW w:w="1984" w:type="dxa"/>
            <w:vAlign w:val="center"/>
          </w:tcPr>
          <w:p w14:paraId="48A19D03" w14:textId="02CE9BC1" w:rsidR="00881AE2" w:rsidRPr="007F09FB" w:rsidRDefault="00881AE2" w:rsidP="00881AE2">
            <w:pPr>
              <w:jc w:val="right"/>
              <w:rPr>
                <w:rFonts w:ascii="Times New Roman" w:hAnsi="Times New Roman"/>
                <w:szCs w:val="22"/>
              </w:rPr>
            </w:pPr>
            <w:r w:rsidRPr="007F09FB">
              <w:rPr>
                <w:rFonts w:ascii="Times New Roman" w:hAnsi="Times New Roman"/>
                <w:szCs w:val="22"/>
              </w:rPr>
              <w:t xml:space="preserve"> </w:t>
            </w:r>
            <w:r w:rsidR="002A4428" w:rsidRPr="007F09FB">
              <w:rPr>
                <w:rFonts w:ascii="Times New Roman" w:hAnsi="Times New Roman"/>
                <w:bCs/>
                <w:iCs/>
                <w:szCs w:val="22"/>
              </w:rPr>
              <w:t>₱</w:t>
            </w:r>
            <w:r w:rsidR="008D4803" w:rsidRPr="007F09FB">
              <w:rPr>
                <w:rFonts w:ascii="Times New Roman" w:hAnsi="Times New Roman"/>
                <w:szCs w:val="22"/>
              </w:rPr>
              <w:t>435,736,041</w:t>
            </w:r>
            <w:r w:rsidR="002A4428" w:rsidRPr="007F09FB">
              <w:rPr>
                <w:rFonts w:ascii="Times New Roman" w:hAnsi="Times New Roman"/>
                <w:szCs w:val="22"/>
              </w:rPr>
              <w:t>.18</w:t>
            </w:r>
            <w:r w:rsidRPr="007F09FB">
              <w:rPr>
                <w:rFonts w:ascii="Times New Roman" w:hAnsi="Times New Roman"/>
                <w:szCs w:val="22"/>
              </w:rPr>
              <w:t xml:space="preserve"> </w:t>
            </w:r>
          </w:p>
        </w:tc>
        <w:tc>
          <w:tcPr>
            <w:tcW w:w="1843" w:type="dxa"/>
            <w:vAlign w:val="center"/>
          </w:tcPr>
          <w:p w14:paraId="7B114B96" w14:textId="0889FFA4" w:rsidR="00881AE2" w:rsidRPr="007F09FB" w:rsidRDefault="00500C06" w:rsidP="008779AA">
            <w:pPr>
              <w:tabs>
                <w:tab w:val="left" w:pos="90"/>
              </w:tabs>
              <w:contextualSpacing/>
              <w:jc w:val="right"/>
              <w:rPr>
                <w:rFonts w:ascii="Times New Roman" w:hAnsi="Times New Roman"/>
                <w:szCs w:val="22"/>
              </w:rPr>
            </w:pPr>
            <w:r w:rsidRPr="007F09FB">
              <w:rPr>
                <w:rFonts w:ascii="Times New Roman" w:hAnsi="Times New Roman"/>
                <w:bCs/>
                <w:iCs/>
                <w:szCs w:val="22"/>
              </w:rPr>
              <w:t>₱</w:t>
            </w:r>
            <w:r w:rsidR="00EC2A04" w:rsidRPr="007F09FB">
              <w:rPr>
                <w:rFonts w:ascii="Times New Roman" w:hAnsi="Times New Roman"/>
                <w:bCs/>
                <w:iCs/>
                <w:szCs w:val="22"/>
              </w:rPr>
              <w:t xml:space="preserve"> </w:t>
            </w:r>
            <w:r w:rsidR="00A45D60" w:rsidRPr="007F09FB">
              <w:rPr>
                <w:rFonts w:ascii="Times New Roman" w:hAnsi="Times New Roman"/>
                <w:szCs w:val="22"/>
              </w:rPr>
              <w:t>55,132,33</w:t>
            </w:r>
            <w:r w:rsidRPr="007F09FB">
              <w:rPr>
                <w:rFonts w:ascii="Times New Roman" w:hAnsi="Times New Roman"/>
                <w:szCs w:val="22"/>
              </w:rPr>
              <w:t>6.81</w:t>
            </w:r>
            <w:r w:rsidR="00534B41" w:rsidRPr="007F09FB">
              <w:rPr>
                <w:rFonts w:ascii="Times New Roman" w:hAnsi="Times New Roman"/>
                <w:szCs w:val="22"/>
              </w:rPr>
              <w:t xml:space="preserve"> </w:t>
            </w:r>
            <w:r w:rsidR="00881AE2" w:rsidRPr="007F09FB">
              <w:rPr>
                <w:rFonts w:ascii="Times New Roman" w:hAnsi="Times New Roman"/>
                <w:szCs w:val="22"/>
              </w:rPr>
              <w:t xml:space="preserve">    </w:t>
            </w:r>
          </w:p>
        </w:tc>
        <w:tc>
          <w:tcPr>
            <w:tcW w:w="1150" w:type="dxa"/>
            <w:vAlign w:val="center"/>
          </w:tcPr>
          <w:p w14:paraId="618DAEFA" w14:textId="3743ABED" w:rsidR="00881AE2" w:rsidRPr="007F09FB" w:rsidRDefault="00A45D60" w:rsidP="00881AE2">
            <w:pPr>
              <w:contextualSpacing/>
              <w:jc w:val="center"/>
              <w:rPr>
                <w:rFonts w:ascii="Times New Roman" w:hAnsi="Times New Roman"/>
                <w:szCs w:val="22"/>
              </w:rPr>
            </w:pPr>
            <w:r w:rsidRPr="007F09FB">
              <w:rPr>
                <w:rFonts w:ascii="Times New Roman" w:hAnsi="Times New Roman"/>
                <w:szCs w:val="22"/>
              </w:rPr>
              <w:t>1</w:t>
            </w:r>
            <w:r w:rsidR="00C95D10" w:rsidRPr="007F09FB">
              <w:rPr>
                <w:rFonts w:ascii="Times New Roman" w:hAnsi="Times New Roman"/>
                <w:szCs w:val="22"/>
              </w:rPr>
              <w:t>2.65</w:t>
            </w:r>
            <w:r w:rsidRPr="007F09FB">
              <w:rPr>
                <w:rFonts w:ascii="Times New Roman" w:hAnsi="Times New Roman"/>
                <w:szCs w:val="22"/>
              </w:rPr>
              <w:t xml:space="preserve"> %</w:t>
            </w:r>
          </w:p>
        </w:tc>
      </w:tr>
      <w:tr w:rsidR="00881AE2" w:rsidRPr="00A45D60" w14:paraId="07690F36" w14:textId="77777777" w:rsidTr="00EC2A04">
        <w:trPr>
          <w:trHeight w:val="247"/>
        </w:trPr>
        <w:tc>
          <w:tcPr>
            <w:tcW w:w="1838" w:type="dxa"/>
          </w:tcPr>
          <w:p w14:paraId="7CAC9D43"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Total Liabilities</w:t>
            </w:r>
          </w:p>
        </w:tc>
        <w:tc>
          <w:tcPr>
            <w:tcW w:w="1843" w:type="dxa"/>
            <w:vAlign w:val="center"/>
          </w:tcPr>
          <w:p w14:paraId="051A1F16" w14:textId="5C3C6B90" w:rsidR="00881AE2" w:rsidRPr="007F09FB" w:rsidRDefault="008D4803" w:rsidP="00881AE2">
            <w:pPr>
              <w:jc w:val="right"/>
              <w:rPr>
                <w:rFonts w:ascii="Times New Roman" w:hAnsi="Times New Roman"/>
              </w:rPr>
            </w:pPr>
            <w:r w:rsidRPr="007F09FB">
              <w:rPr>
                <w:rFonts w:ascii="Times New Roman" w:hAnsi="Times New Roman"/>
              </w:rPr>
              <w:t>59,852,62</w:t>
            </w:r>
            <w:r w:rsidR="002A4428" w:rsidRPr="007F09FB">
              <w:rPr>
                <w:rFonts w:ascii="Times New Roman" w:hAnsi="Times New Roman"/>
              </w:rPr>
              <w:t>7.54</w:t>
            </w:r>
          </w:p>
        </w:tc>
        <w:tc>
          <w:tcPr>
            <w:tcW w:w="1984" w:type="dxa"/>
            <w:vAlign w:val="center"/>
          </w:tcPr>
          <w:p w14:paraId="56273953" w14:textId="3D8AAF6F" w:rsidR="00881AE2" w:rsidRPr="007F09FB" w:rsidRDefault="008D4803" w:rsidP="00881AE2">
            <w:pPr>
              <w:jc w:val="right"/>
              <w:rPr>
                <w:rFonts w:ascii="Times New Roman" w:hAnsi="Times New Roman"/>
              </w:rPr>
            </w:pPr>
            <w:r w:rsidRPr="007F09FB">
              <w:rPr>
                <w:rFonts w:ascii="Times New Roman" w:hAnsi="Times New Roman"/>
              </w:rPr>
              <w:t>51,315,462</w:t>
            </w:r>
            <w:r w:rsidR="00500C06" w:rsidRPr="007F09FB">
              <w:rPr>
                <w:rFonts w:ascii="Times New Roman" w:hAnsi="Times New Roman"/>
              </w:rPr>
              <w:t>.02</w:t>
            </w:r>
          </w:p>
        </w:tc>
        <w:tc>
          <w:tcPr>
            <w:tcW w:w="1843" w:type="dxa"/>
            <w:vAlign w:val="center"/>
          </w:tcPr>
          <w:p w14:paraId="39CF170B" w14:textId="53A6BB3A" w:rsidR="00881AE2" w:rsidRPr="007F09FB" w:rsidRDefault="00C95D10" w:rsidP="00881AE2">
            <w:pPr>
              <w:contextualSpacing/>
              <w:jc w:val="right"/>
              <w:rPr>
                <w:rFonts w:ascii="Times New Roman" w:hAnsi="Times New Roman"/>
                <w:szCs w:val="22"/>
              </w:rPr>
            </w:pPr>
            <w:r w:rsidRPr="007F09FB">
              <w:rPr>
                <w:rFonts w:ascii="Times New Roman" w:hAnsi="Times New Roman"/>
                <w:szCs w:val="22"/>
              </w:rPr>
              <w:t>8,537,166</w:t>
            </w:r>
            <w:r w:rsidR="00500C06" w:rsidRPr="007F09FB">
              <w:rPr>
                <w:rFonts w:ascii="Times New Roman" w:hAnsi="Times New Roman"/>
                <w:szCs w:val="22"/>
              </w:rPr>
              <w:t>.52</w:t>
            </w:r>
          </w:p>
        </w:tc>
        <w:tc>
          <w:tcPr>
            <w:tcW w:w="1150" w:type="dxa"/>
            <w:vAlign w:val="center"/>
          </w:tcPr>
          <w:p w14:paraId="58B3DE6E" w14:textId="4955BA9E" w:rsidR="00881AE2" w:rsidRPr="007F09FB" w:rsidRDefault="00C95D10" w:rsidP="008779AA">
            <w:pPr>
              <w:contextualSpacing/>
              <w:jc w:val="center"/>
              <w:rPr>
                <w:rFonts w:ascii="Times New Roman" w:hAnsi="Times New Roman"/>
                <w:szCs w:val="22"/>
              </w:rPr>
            </w:pPr>
            <w:r w:rsidRPr="007F09FB">
              <w:rPr>
                <w:rFonts w:ascii="Times New Roman" w:hAnsi="Times New Roman"/>
                <w:szCs w:val="22"/>
              </w:rPr>
              <w:t>16.</w:t>
            </w:r>
            <w:r w:rsidR="00E6096A" w:rsidRPr="007F09FB">
              <w:rPr>
                <w:rFonts w:ascii="Times New Roman" w:hAnsi="Times New Roman"/>
                <w:szCs w:val="22"/>
              </w:rPr>
              <w:t>64</w:t>
            </w:r>
            <w:r w:rsidRPr="007F09FB">
              <w:rPr>
                <w:rFonts w:ascii="Times New Roman" w:hAnsi="Times New Roman"/>
                <w:szCs w:val="22"/>
              </w:rPr>
              <w:t xml:space="preserve">% </w:t>
            </w:r>
          </w:p>
        </w:tc>
      </w:tr>
      <w:tr w:rsidR="00881AE2" w:rsidRPr="00A45D60" w14:paraId="652F5702" w14:textId="77777777" w:rsidTr="00EC2A04">
        <w:trPr>
          <w:trHeight w:val="247"/>
        </w:trPr>
        <w:tc>
          <w:tcPr>
            <w:tcW w:w="1838" w:type="dxa"/>
          </w:tcPr>
          <w:p w14:paraId="647937A6"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Total Equity</w:t>
            </w:r>
          </w:p>
        </w:tc>
        <w:tc>
          <w:tcPr>
            <w:tcW w:w="1843" w:type="dxa"/>
            <w:vAlign w:val="center"/>
          </w:tcPr>
          <w:p w14:paraId="1958BB84" w14:textId="3321808D" w:rsidR="00881AE2" w:rsidRPr="007F09FB" w:rsidRDefault="002A4428" w:rsidP="00881AE2">
            <w:pPr>
              <w:jc w:val="right"/>
              <w:rPr>
                <w:rFonts w:ascii="Times New Roman" w:hAnsi="Times New Roman"/>
              </w:rPr>
            </w:pPr>
            <w:r w:rsidRPr="007F09FB">
              <w:rPr>
                <w:rFonts w:ascii="Times New Roman" w:hAnsi="Times New Roman"/>
                <w:bCs/>
                <w:iCs/>
                <w:szCs w:val="22"/>
              </w:rPr>
              <w:t xml:space="preserve">  ₱</w:t>
            </w:r>
            <w:r w:rsidR="008D4803" w:rsidRPr="007F09FB">
              <w:rPr>
                <w:rFonts w:ascii="Times New Roman" w:hAnsi="Times New Roman"/>
              </w:rPr>
              <w:t>431,015,750</w:t>
            </w:r>
            <w:r w:rsidRPr="007F09FB">
              <w:rPr>
                <w:rFonts w:ascii="Times New Roman" w:hAnsi="Times New Roman"/>
              </w:rPr>
              <w:t>.45</w:t>
            </w:r>
          </w:p>
        </w:tc>
        <w:tc>
          <w:tcPr>
            <w:tcW w:w="1984" w:type="dxa"/>
            <w:vAlign w:val="center"/>
          </w:tcPr>
          <w:p w14:paraId="7C1E731E" w14:textId="6CD205D4" w:rsidR="00881AE2" w:rsidRPr="007F09FB" w:rsidRDefault="00500C06" w:rsidP="00881AE2">
            <w:pPr>
              <w:jc w:val="right"/>
              <w:rPr>
                <w:rFonts w:ascii="Times New Roman" w:hAnsi="Times New Roman"/>
              </w:rPr>
            </w:pPr>
            <w:r w:rsidRPr="007F09FB">
              <w:rPr>
                <w:rFonts w:ascii="Times New Roman" w:hAnsi="Times New Roman"/>
                <w:bCs/>
                <w:iCs/>
                <w:szCs w:val="22"/>
              </w:rPr>
              <w:t>₱</w:t>
            </w:r>
            <w:r w:rsidR="008D4803" w:rsidRPr="007F09FB">
              <w:rPr>
                <w:rFonts w:ascii="Times New Roman" w:hAnsi="Times New Roman"/>
              </w:rPr>
              <w:t>384,420,579</w:t>
            </w:r>
            <w:r w:rsidRPr="007F09FB">
              <w:rPr>
                <w:rFonts w:ascii="Times New Roman" w:hAnsi="Times New Roman"/>
              </w:rPr>
              <w:t>.16</w:t>
            </w:r>
          </w:p>
        </w:tc>
        <w:tc>
          <w:tcPr>
            <w:tcW w:w="1843" w:type="dxa"/>
            <w:vAlign w:val="center"/>
          </w:tcPr>
          <w:p w14:paraId="373340A2" w14:textId="3120FB5D" w:rsidR="00881AE2" w:rsidRPr="007F09FB" w:rsidRDefault="00500C06" w:rsidP="00881AE2">
            <w:pPr>
              <w:contextualSpacing/>
              <w:jc w:val="right"/>
              <w:rPr>
                <w:rFonts w:ascii="Times New Roman" w:hAnsi="Times New Roman"/>
                <w:szCs w:val="22"/>
              </w:rPr>
            </w:pPr>
            <w:r w:rsidRPr="007F09FB">
              <w:rPr>
                <w:rFonts w:ascii="Times New Roman" w:hAnsi="Times New Roman"/>
                <w:bCs/>
                <w:iCs/>
                <w:szCs w:val="22"/>
              </w:rPr>
              <w:t>₱</w:t>
            </w:r>
            <w:r w:rsidR="00EC2A04" w:rsidRPr="007F09FB">
              <w:rPr>
                <w:rFonts w:ascii="Times New Roman" w:hAnsi="Times New Roman"/>
                <w:bCs/>
                <w:iCs/>
                <w:szCs w:val="22"/>
              </w:rPr>
              <w:t xml:space="preserve"> </w:t>
            </w:r>
            <w:r w:rsidR="00534B41" w:rsidRPr="007F09FB">
              <w:rPr>
                <w:rFonts w:ascii="Times New Roman" w:hAnsi="Times New Roman"/>
                <w:szCs w:val="22"/>
              </w:rPr>
              <w:t>46,595,171</w:t>
            </w:r>
            <w:r w:rsidRPr="007F09FB">
              <w:rPr>
                <w:rFonts w:ascii="Times New Roman" w:hAnsi="Times New Roman"/>
                <w:szCs w:val="22"/>
              </w:rPr>
              <w:t>.29</w:t>
            </w:r>
          </w:p>
        </w:tc>
        <w:tc>
          <w:tcPr>
            <w:tcW w:w="1150" w:type="dxa"/>
            <w:vAlign w:val="center"/>
          </w:tcPr>
          <w:p w14:paraId="44434EB5" w14:textId="457BA59F" w:rsidR="00881AE2" w:rsidRPr="007F09FB" w:rsidRDefault="00C95D10" w:rsidP="008779AA">
            <w:pPr>
              <w:contextualSpacing/>
              <w:jc w:val="center"/>
              <w:rPr>
                <w:rFonts w:ascii="Times New Roman" w:hAnsi="Times New Roman"/>
                <w:szCs w:val="22"/>
              </w:rPr>
            </w:pPr>
            <w:r w:rsidRPr="007F09FB">
              <w:rPr>
                <w:rFonts w:ascii="Times New Roman" w:hAnsi="Times New Roman"/>
                <w:szCs w:val="22"/>
              </w:rPr>
              <w:t>12.12%</w:t>
            </w:r>
          </w:p>
        </w:tc>
      </w:tr>
      <w:tr w:rsidR="00E72D70" w:rsidRPr="00A45D60" w14:paraId="35603665" w14:textId="77777777" w:rsidTr="00C24135">
        <w:trPr>
          <w:trHeight w:val="353"/>
        </w:trPr>
        <w:tc>
          <w:tcPr>
            <w:tcW w:w="8658" w:type="dxa"/>
            <w:gridSpan w:val="5"/>
            <w:vAlign w:val="center"/>
          </w:tcPr>
          <w:p w14:paraId="6429DF16" w14:textId="77777777" w:rsidR="00E72D70" w:rsidRPr="007F09FB" w:rsidRDefault="00E72D70" w:rsidP="00C24135">
            <w:pPr>
              <w:contextualSpacing/>
              <w:rPr>
                <w:rFonts w:ascii="Times New Roman" w:hAnsi="Times New Roman"/>
                <w:szCs w:val="22"/>
              </w:rPr>
            </w:pPr>
            <w:r w:rsidRPr="007F09FB">
              <w:rPr>
                <w:rFonts w:ascii="Times New Roman" w:hAnsi="Times New Roman"/>
                <w:b/>
                <w:szCs w:val="22"/>
              </w:rPr>
              <w:t>Result of Operation</w:t>
            </w:r>
          </w:p>
        </w:tc>
      </w:tr>
      <w:tr w:rsidR="00881AE2" w:rsidRPr="00A45D60" w14:paraId="7BB8F100" w14:textId="77777777" w:rsidTr="00EC2A04">
        <w:trPr>
          <w:trHeight w:val="247"/>
        </w:trPr>
        <w:tc>
          <w:tcPr>
            <w:tcW w:w="1838" w:type="dxa"/>
          </w:tcPr>
          <w:p w14:paraId="47138DA5"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Total Income</w:t>
            </w:r>
          </w:p>
        </w:tc>
        <w:tc>
          <w:tcPr>
            <w:tcW w:w="1843" w:type="dxa"/>
            <w:vAlign w:val="center"/>
          </w:tcPr>
          <w:p w14:paraId="542DBB52" w14:textId="071D3E72" w:rsidR="00881AE2" w:rsidRPr="007F09FB" w:rsidRDefault="00E6096A" w:rsidP="00881AE2">
            <w:pPr>
              <w:contextualSpacing/>
              <w:jc w:val="right"/>
              <w:rPr>
                <w:rFonts w:ascii="Times New Roman" w:hAnsi="Times New Roman"/>
                <w:szCs w:val="22"/>
              </w:rPr>
            </w:pPr>
            <w:r w:rsidRPr="007F09FB">
              <w:rPr>
                <w:rFonts w:ascii="Times New Roman" w:hAnsi="Times New Roman"/>
                <w:bCs/>
                <w:iCs/>
                <w:szCs w:val="22"/>
              </w:rPr>
              <w:t>₱</w:t>
            </w:r>
            <w:r w:rsidR="008D4803" w:rsidRPr="007F09FB">
              <w:rPr>
                <w:rFonts w:ascii="Times New Roman" w:hAnsi="Times New Roman"/>
                <w:szCs w:val="22"/>
              </w:rPr>
              <w:t>224,462,697</w:t>
            </w:r>
            <w:r w:rsidRPr="007F09FB">
              <w:rPr>
                <w:rFonts w:ascii="Times New Roman" w:hAnsi="Times New Roman"/>
                <w:szCs w:val="22"/>
              </w:rPr>
              <w:t>.35</w:t>
            </w:r>
          </w:p>
        </w:tc>
        <w:tc>
          <w:tcPr>
            <w:tcW w:w="1984" w:type="dxa"/>
            <w:vAlign w:val="center"/>
          </w:tcPr>
          <w:p w14:paraId="79782475" w14:textId="41BBBE29" w:rsidR="00881AE2" w:rsidRPr="007F09FB" w:rsidRDefault="00E6096A" w:rsidP="00881AE2">
            <w:pPr>
              <w:contextualSpacing/>
              <w:jc w:val="right"/>
              <w:rPr>
                <w:rFonts w:ascii="Times New Roman" w:hAnsi="Times New Roman"/>
                <w:szCs w:val="22"/>
              </w:rPr>
            </w:pPr>
            <w:r w:rsidRPr="007F09FB">
              <w:rPr>
                <w:rFonts w:ascii="Times New Roman" w:hAnsi="Times New Roman"/>
                <w:bCs/>
                <w:iCs/>
                <w:szCs w:val="22"/>
              </w:rPr>
              <w:t>₱</w:t>
            </w:r>
            <w:r w:rsidR="008D4803" w:rsidRPr="007F09FB">
              <w:rPr>
                <w:rFonts w:ascii="Times New Roman" w:hAnsi="Times New Roman"/>
                <w:szCs w:val="22"/>
              </w:rPr>
              <w:t>235,548,980</w:t>
            </w:r>
            <w:r w:rsidRPr="007F09FB">
              <w:rPr>
                <w:rFonts w:ascii="Times New Roman" w:hAnsi="Times New Roman"/>
                <w:szCs w:val="22"/>
              </w:rPr>
              <w:t>.79</w:t>
            </w:r>
          </w:p>
        </w:tc>
        <w:tc>
          <w:tcPr>
            <w:tcW w:w="1843" w:type="dxa"/>
            <w:vAlign w:val="center"/>
          </w:tcPr>
          <w:p w14:paraId="111B9D62" w14:textId="626645A0" w:rsidR="00534B41" w:rsidRPr="007F09FB" w:rsidRDefault="00534B41" w:rsidP="00500C06">
            <w:pPr>
              <w:contextualSpacing/>
              <w:jc w:val="right"/>
              <w:rPr>
                <w:rFonts w:ascii="Times New Roman" w:hAnsi="Times New Roman"/>
                <w:szCs w:val="22"/>
              </w:rPr>
            </w:pPr>
            <w:r w:rsidRPr="007F09FB">
              <w:rPr>
                <w:rFonts w:ascii="Times New Roman" w:hAnsi="Times New Roman"/>
                <w:szCs w:val="22"/>
              </w:rPr>
              <w:t>(</w:t>
            </w:r>
            <w:r w:rsidR="00EC2A04" w:rsidRPr="007F09FB">
              <w:rPr>
                <w:rFonts w:ascii="Times New Roman" w:hAnsi="Times New Roman"/>
                <w:bCs/>
                <w:iCs/>
                <w:szCs w:val="22"/>
              </w:rPr>
              <w:t>₱</w:t>
            </w:r>
            <w:r w:rsidRPr="007F09FB">
              <w:rPr>
                <w:rFonts w:ascii="Times New Roman" w:hAnsi="Times New Roman"/>
                <w:szCs w:val="22"/>
              </w:rPr>
              <w:t>11,086,283</w:t>
            </w:r>
            <w:r w:rsidR="00EC2A04" w:rsidRPr="007F09FB">
              <w:rPr>
                <w:rFonts w:ascii="Times New Roman" w:hAnsi="Times New Roman"/>
                <w:szCs w:val="22"/>
              </w:rPr>
              <w:t>.44</w:t>
            </w:r>
            <w:r w:rsidRPr="007F09FB">
              <w:rPr>
                <w:rFonts w:ascii="Times New Roman" w:hAnsi="Times New Roman"/>
                <w:szCs w:val="22"/>
              </w:rPr>
              <w:t>)</w:t>
            </w:r>
          </w:p>
        </w:tc>
        <w:tc>
          <w:tcPr>
            <w:tcW w:w="1150" w:type="dxa"/>
            <w:vAlign w:val="center"/>
          </w:tcPr>
          <w:p w14:paraId="6B717C42" w14:textId="4C3FB33C" w:rsidR="00881AE2" w:rsidRPr="007F09FB" w:rsidRDefault="00225367" w:rsidP="008779AA">
            <w:pPr>
              <w:contextualSpacing/>
              <w:jc w:val="center"/>
              <w:rPr>
                <w:rFonts w:ascii="Times New Roman" w:hAnsi="Times New Roman"/>
                <w:szCs w:val="22"/>
              </w:rPr>
            </w:pPr>
            <w:r w:rsidRPr="007F09FB">
              <w:rPr>
                <w:rFonts w:ascii="Times New Roman" w:hAnsi="Times New Roman"/>
                <w:szCs w:val="22"/>
              </w:rPr>
              <w:t>4.71%</w:t>
            </w:r>
          </w:p>
        </w:tc>
      </w:tr>
      <w:tr w:rsidR="00881AE2" w:rsidRPr="00A45D60" w14:paraId="3D54C4E4" w14:textId="77777777" w:rsidTr="00EC2A04">
        <w:trPr>
          <w:trHeight w:val="233"/>
        </w:trPr>
        <w:tc>
          <w:tcPr>
            <w:tcW w:w="1838" w:type="dxa"/>
          </w:tcPr>
          <w:p w14:paraId="0102851D"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Total Expenses</w:t>
            </w:r>
          </w:p>
        </w:tc>
        <w:tc>
          <w:tcPr>
            <w:tcW w:w="1843" w:type="dxa"/>
            <w:vAlign w:val="center"/>
          </w:tcPr>
          <w:p w14:paraId="58B9639A" w14:textId="40AF2115" w:rsidR="00881AE2" w:rsidRPr="007F09FB" w:rsidRDefault="008D4803" w:rsidP="00881AE2">
            <w:pPr>
              <w:contextualSpacing/>
              <w:jc w:val="right"/>
              <w:rPr>
                <w:rFonts w:ascii="Times New Roman" w:hAnsi="Times New Roman"/>
                <w:szCs w:val="22"/>
              </w:rPr>
            </w:pPr>
            <w:r w:rsidRPr="007F09FB">
              <w:rPr>
                <w:rFonts w:ascii="Times New Roman" w:hAnsi="Times New Roman"/>
                <w:szCs w:val="22"/>
              </w:rPr>
              <w:t>174,831,20</w:t>
            </w:r>
            <w:r w:rsidR="00E6096A" w:rsidRPr="007F09FB">
              <w:rPr>
                <w:rFonts w:ascii="Times New Roman" w:hAnsi="Times New Roman"/>
                <w:szCs w:val="22"/>
              </w:rPr>
              <w:t>4.81</w:t>
            </w:r>
          </w:p>
        </w:tc>
        <w:tc>
          <w:tcPr>
            <w:tcW w:w="1984" w:type="dxa"/>
            <w:vAlign w:val="center"/>
          </w:tcPr>
          <w:p w14:paraId="5B2F0261" w14:textId="47E603B6" w:rsidR="008D4803" w:rsidRPr="007F09FB" w:rsidRDefault="008D4803" w:rsidP="008D4803">
            <w:pPr>
              <w:contextualSpacing/>
              <w:jc w:val="right"/>
              <w:rPr>
                <w:rFonts w:ascii="Times New Roman" w:hAnsi="Times New Roman"/>
                <w:szCs w:val="22"/>
              </w:rPr>
            </w:pPr>
            <w:r w:rsidRPr="007F09FB">
              <w:rPr>
                <w:rFonts w:ascii="Times New Roman" w:hAnsi="Times New Roman"/>
                <w:szCs w:val="22"/>
              </w:rPr>
              <w:t>180,094,991</w:t>
            </w:r>
            <w:r w:rsidR="00E6096A" w:rsidRPr="007F09FB">
              <w:rPr>
                <w:rFonts w:ascii="Times New Roman" w:hAnsi="Times New Roman"/>
                <w:szCs w:val="22"/>
              </w:rPr>
              <w:t>.41</w:t>
            </w:r>
          </w:p>
        </w:tc>
        <w:tc>
          <w:tcPr>
            <w:tcW w:w="1843" w:type="dxa"/>
            <w:vAlign w:val="center"/>
          </w:tcPr>
          <w:p w14:paraId="357B3D13" w14:textId="0E131CB7" w:rsidR="0086505F" w:rsidRPr="007F09FB" w:rsidRDefault="0086505F" w:rsidP="00500C06">
            <w:pPr>
              <w:contextualSpacing/>
              <w:jc w:val="right"/>
              <w:rPr>
                <w:rFonts w:ascii="Times New Roman" w:hAnsi="Times New Roman"/>
                <w:szCs w:val="22"/>
              </w:rPr>
            </w:pPr>
            <w:r w:rsidRPr="007F09FB">
              <w:rPr>
                <w:rFonts w:ascii="Times New Roman" w:hAnsi="Times New Roman"/>
                <w:szCs w:val="22"/>
              </w:rPr>
              <w:t>(5,263,786</w:t>
            </w:r>
            <w:r w:rsidR="00EC2A04" w:rsidRPr="007F09FB">
              <w:rPr>
                <w:rFonts w:ascii="Times New Roman" w:hAnsi="Times New Roman"/>
                <w:szCs w:val="22"/>
              </w:rPr>
              <w:t>.60</w:t>
            </w:r>
            <w:r w:rsidRPr="007F09FB">
              <w:rPr>
                <w:rFonts w:ascii="Times New Roman" w:hAnsi="Times New Roman"/>
                <w:szCs w:val="22"/>
              </w:rPr>
              <w:t>)</w:t>
            </w:r>
          </w:p>
        </w:tc>
        <w:tc>
          <w:tcPr>
            <w:tcW w:w="1150" w:type="dxa"/>
            <w:vAlign w:val="center"/>
          </w:tcPr>
          <w:p w14:paraId="53E2C2B7" w14:textId="340333B1" w:rsidR="00881AE2" w:rsidRPr="007F09FB" w:rsidRDefault="00225367" w:rsidP="008779AA">
            <w:pPr>
              <w:contextualSpacing/>
              <w:jc w:val="center"/>
              <w:rPr>
                <w:rFonts w:ascii="Times New Roman" w:hAnsi="Times New Roman"/>
                <w:szCs w:val="22"/>
              </w:rPr>
            </w:pPr>
            <w:r w:rsidRPr="007F09FB">
              <w:rPr>
                <w:rFonts w:ascii="Times New Roman" w:hAnsi="Times New Roman"/>
                <w:szCs w:val="22"/>
              </w:rPr>
              <w:t>2.92%</w:t>
            </w:r>
          </w:p>
        </w:tc>
      </w:tr>
      <w:tr w:rsidR="00881AE2" w:rsidRPr="00D7356B" w14:paraId="10C743FA" w14:textId="77777777" w:rsidTr="00EC2A04">
        <w:trPr>
          <w:trHeight w:val="227"/>
        </w:trPr>
        <w:tc>
          <w:tcPr>
            <w:tcW w:w="1838" w:type="dxa"/>
          </w:tcPr>
          <w:p w14:paraId="78123392" w14:textId="77777777" w:rsidR="00881AE2" w:rsidRPr="00A45D60" w:rsidRDefault="00881AE2" w:rsidP="00881AE2">
            <w:pPr>
              <w:contextualSpacing/>
              <w:jc w:val="both"/>
              <w:rPr>
                <w:rFonts w:ascii="Times New Roman" w:hAnsi="Times New Roman"/>
                <w:szCs w:val="22"/>
              </w:rPr>
            </w:pPr>
            <w:r w:rsidRPr="00A45D60">
              <w:rPr>
                <w:rFonts w:ascii="Times New Roman" w:hAnsi="Times New Roman"/>
                <w:szCs w:val="22"/>
              </w:rPr>
              <w:t>Surplus (Deficit)</w:t>
            </w:r>
          </w:p>
        </w:tc>
        <w:tc>
          <w:tcPr>
            <w:tcW w:w="1843" w:type="dxa"/>
            <w:vAlign w:val="center"/>
          </w:tcPr>
          <w:p w14:paraId="6D515296" w14:textId="483813B1" w:rsidR="0086505F" w:rsidRPr="007F09FB" w:rsidRDefault="00E6096A" w:rsidP="0086505F">
            <w:pPr>
              <w:tabs>
                <w:tab w:val="left" w:pos="90"/>
              </w:tabs>
              <w:contextualSpacing/>
              <w:jc w:val="right"/>
              <w:rPr>
                <w:rFonts w:ascii="Times New Roman" w:hAnsi="Times New Roman"/>
                <w:szCs w:val="22"/>
              </w:rPr>
            </w:pPr>
            <w:r w:rsidRPr="007F09FB">
              <w:rPr>
                <w:rFonts w:ascii="Times New Roman" w:hAnsi="Times New Roman"/>
                <w:bCs/>
                <w:iCs/>
                <w:szCs w:val="22"/>
              </w:rPr>
              <w:t xml:space="preserve">₱ </w:t>
            </w:r>
            <w:r w:rsidRPr="007F09FB">
              <w:rPr>
                <w:rFonts w:ascii="Times New Roman" w:hAnsi="Times New Roman"/>
              </w:rPr>
              <w:t xml:space="preserve"> </w:t>
            </w:r>
            <w:r w:rsidR="0086505F" w:rsidRPr="007F09FB">
              <w:rPr>
                <w:rFonts w:ascii="Times New Roman" w:hAnsi="Times New Roman"/>
                <w:szCs w:val="22"/>
              </w:rPr>
              <w:t>49,631,49</w:t>
            </w:r>
            <w:r w:rsidRPr="007F09FB">
              <w:rPr>
                <w:rFonts w:ascii="Times New Roman" w:hAnsi="Times New Roman"/>
                <w:szCs w:val="22"/>
              </w:rPr>
              <w:t>2.54</w:t>
            </w:r>
          </w:p>
        </w:tc>
        <w:tc>
          <w:tcPr>
            <w:tcW w:w="1984" w:type="dxa"/>
            <w:vAlign w:val="center"/>
          </w:tcPr>
          <w:p w14:paraId="63DA29B8" w14:textId="75212B02" w:rsidR="00881AE2" w:rsidRPr="007F09FB" w:rsidRDefault="00E6096A" w:rsidP="008D4803">
            <w:pPr>
              <w:tabs>
                <w:tab w:val="left" w:pos="90"/>
              </w:tabs>
              <w:contextualSpacing/>
              <w:jc w:val="right"/>
              <w:rPr>
                <w:rFonts w:ascii="Times New Roman" w:hAnsi="Times New Roman"/>
                <w:szCs w:val="22"/>
              </w:rPr>
            </w:pPr>
            <w:r w:rsidRPr="007F09FB">
              <w:rPr>
                <w:rFonts w:ascii="Times New Roman" w:hAnsi="Times New Roman"/>
                <w:bCs/>
                <w:iCs/>
                <w:szCs w:val="22"/>
              </w:rPr>
              <w:t xml:space="preserve">₱  </w:t>
            </w:r>
            <w:r w:rsidR="008D4803" w:rsidRPr="007F09FB">
              <w:rPr>
                <w:rFonts w:ascii="Times New Roman" w:hAnsi="Times New Roman"/>
                <w:szCs w:val="22"/>
              </w:rPr>
              <w:t>55,453,989</w:t>
            </w:r>
            <w:r w:rsidRPr="007F09FB">
              <w:rPr>
                <w:rFonts w:ascii="Times New Roman" w:hAnsi="Times New Roman"/>
                <w:szCs w:val="22"/>
              </w:rPr>
              <w:t>.38</w:t>
            </w:r>
          </w:p>
        </w:tc>
        <w:tc>
          <w:tcPr>
            <w:tcW w:w="1843" w:type="dxa"/>
            <w:vAlign w:val="center"/>
          </w:tcPr>
          <w:p w14:paraId="437F60F8" w14:textId="024E9BDC" w:rsidR="00881AE2" w:rsidRPr="007F09FB" w:rsidRDefault="00EC2A04" w:rsidP="00EC2A04">
            <w:pPr>
              <w:contextualSpacing/>
              <w:jc w:val="right"/>
              <w:rPr>
                <w:rFonts w:ascii="Times New Roman" w:hAnsi="Times New Roman"/>
                <w:szCs w:val="22"/>
              </w:rPr>
            </w:pPr>
            <w:r w:rsidRPr="007F09FB">
              <w:rPr>
                <w:rFonts w:ascii="Times New Roman" w:hAnsi="Times New Roman"/>
                <w:szCs w:val="22"/>
              </w:rPr>
              <w:t>(</w:t>
            </w:r>
            <w:r w:rsidRPr="007F09FB">
              <w:rPr>
                <w:rFonts w:ascii="Times New Roman" w:hAnsi="Times New Roman"/>
                <w:bCs/>
                <w:iCs/>
                <w:szCs w:val="22"/>
              </w:rPr>
              <w:t>₱</w:t>
            </w:r>
            <w:r w:rsidRPr="007F09FB">
              <w:rPr>
                <w:rFonts w:ascii="Times New Roman" w:hAnsi="Times New Roman"/>
                <w:szCs w:val="22"/>
              </w:rPr>
              <w:t xml:space="preserve">  </w:t>
            </w:r>
            <w:r w:rsidR="00A45D60" w:rsidRPr="007F09FB">
              <w:rPr>
                <w:rFonts w:ascii="Times New Roman" w:hAnsi="Times New Roman"/>
                <w:szCs w:val="22"/>
              </w:rPr>
              <w:t>5,822,496</w:t>
            </w:r>
            <w:r w:rsidRPr="007F09FB">
              <w:rPr>
                <w:rFonts w:ascii="Times New Roman" w:hAnsi="Times New Roman"/>
                <w:szCs w:val="22"/>
              </w:rPr>
              <w:t>.84</w:t>
            </w:r>
            <w:r w:rsidR="00A45D60" w:rsidRPr="007F09FB">
              <w:rPr>
                <w:rFonts w:ascii="Times New Roman" w:hAnsi="Times New Roman"/>
                <w:szCs w:val="22"/>
              </w:rPr>
              <w:t>)</w:t>
            </w:r>
          </w:p>
        </w:tc>
        <w:tc>
          <w:tcPr>
            <w:tcW w:w="1150" w:type="dxa"/>
            <w:vAlign w:val="center"/>
          </w:tcPr>
          <w:p w14:paraId="08B7DDDE" w14:textId="132D5622" w:rsidR="00881AE2" w:rsidRPr="007F09FB" w:rsidRDefault="00225367" w:rsidP="00225367">
            <w:pPr>
              <w:contextualSpacing/>
              <w:rPr>
                <w:rFonts w:ascii="Times New Roman" w:hAnsi="Times New Roman"/>
                <w:szCs w:val="22"/>
              </w:rPr>
            </w:pPr>
            <w:r w:rsidRPr="007F09FB">
              <w:rPr>
                <w:rFonts w:ascii="Times New Roman" w:hAnsi="Times New Roman"/>
                <w:szCs w:val="22"/>
              </w:rPr>
              <w:t xml:space="preserve"> 10.50%</w:t>
            </w:r>
          </w:p>
        </w:tc>
      </w:tr>
    </w:tbl>
    <w:p w14:paraId="7FA668ED" w14:textId="5DBC648B" w:rsidR="00062353" w:rsidRDefault="00062353" w:rsidP="00CE630C">
      <w:pPr>
        <w:tabs>
          <w:tab w:val="left" w:pos="90"/>
        </w:tabs>
        <w:contextualSpacing/>
        <w:jc w:val="both"/>
        <w:rPr>
          <w:rFonts w:ascii="Times New Roman" w:hAnsi="Times New Roman"/>
          <w:caps/>
          <w:sz w:val="24"/>
          <w:szCs w:val="24"/>
        </w:rPr>
      </w:pPr>
    </w:p>
    <w:p w14:paraId="1F6A0123" w14:textId="77777777" w:rsidR="002A4428" w:rsidRDefault="002A4428" w:rsidP="00CE630C">
      <w:pPr>
        <w:tabs>
          <w:tab w:val="left" w:pos="90"/>
        </w:tabs>
        <w:contextualSpacing/>
        <w:jc w:val="both"/>
        <w:rPr>
          <w:rFonts w:ascii="Times New Roman" w:hAnsi="Times New Roman"/>
          <w:caps/>
          <w:sz w:val="24"/>
          <w:szCs w:val="24"/>
        </w:rPr>
      </w:pPr>
    </w:p>
    <w:p w14:paraId="2E1451D9" w14:textId="77777777" w:rsidR="00500951" w:rsidRPr="00C24135" w:rsidRDefault="00500951" w:rsidP="00C24135">
      <w:pPr>
        <w:pStyle w:val="Heading1"/>
        <w:numPr>
          <w:ilvl w:val="0"/>
          <w:numId w:val="2"/>
        </w:numPr>
        <w:rPr>
          <w:i/>
        </w:rPr>
      </w:pPr>
      <w:r w:rsidRPr="005D5F6A">
        <w:rPr>
          <w:i/>
        </w:rPr>
        <w:t>Scope of audit</w:t>
      </w:r>
    </w:p>
    <w:p w14:paraId="5C94AE26" w14:textId="77777777" w:rsidR="005D5F6A" w:rsidRPr="005D5F6A" w:rsidRDefault="005D5F6A" w:rsidP="005D5F6A">
      <w:pPr>
        <w:pStyle w:val="ListParagraph"/>
        <w:tabs>
          <w:tab w:val="left" w:pos="360"/>
        </w:tabs>
        <w:ind w:left="360"/>
        <w:rPr>
          <w:b/>
          <w:i/>
        </w:rPr>
      </w:pPr>
    </w:p>
    <w:p w14:paraId="4EE9CA1C" w14:textId="26C67265" w:rsidR="00500951" w:rsidRPr="00500951" w:rsidRDefault="00F424DA" w:rsidP="00B15F64">
      <w:pPr>
        <w:tabs>
          <w:tab w:val="left" w:pos="360"/>
        </w:tabs>
        <w:ind w:firstLine="720"/>
        <w:contextualSpacing/>
        <w:jc w:val="both"/>
        <w:rPr>
          <w:rFonts w:ascii="Times New Roman" w:hAnsi="Times New Roman"/>
          <w:sz w:val="24"/>
          <w:szCs w:val="24"/>
        </w:rPr>
      </w:pPr>
      <w:r>
        <w:rPr>
          <w:rFonts w:ascii="Times New Roman" w:hAnsi="Times New Roman"/>
          <w:sz w:val="24"/>
          <w:szCs w:val="24"/>
        </w:rPr>
        <w:t>O</w:t>
      </w:r>
      <w:r w:rsidR="00500951" w:rsidRPr="00500951">
        <w:rPr>
          <w:rFonts w:ascii="Times New Roman" w:hAnsi="Times New Roman"/>
          <w:sz w:val="24"/>
          <w:szCs w:val="24"/>
        </w:rPr>
        <w:t xml:space="preserve">ur audit was conducted on the accounts and operations of </w:t>
      </w:r>
      <w:r w:rsidR="00500951">
        <w:rPr>
          <w:rFonts w:ascii="Times New Roman" w:hAnsi="Times New Roman"/>
          <w:sz w:val="24"/>
          <w:szCs w:val="24"/>
        </w:rPr>
        <w:t>BASC</w:t>
      </w:r>
      <w:r w:rsidR="00500951" w:rsidRPr="00500951">
        <w:rPr>
          <w:rFonts w:ascii="Times New Roman" w:hAnsi="Times New Roman"/>
          <w:sz w:val="24"/>
          <w:szCs w:val="24"/>
        </w:rPr>
        <w:t xml:space="preserve"> for calendar year 20</w:t>
      </w:r>
      <w:r w:rsidR="00B55810">
        <w:rPr>
          <w:rFonts w:ascii="Times New Roman" w:hAnsi="Times New Roman"/>
          <w:sz w:val="24"/>
          <w:szCs w:val="24"/>
        </w:rPr>
        <w:t>20</w:t>
      </w:r>
      <w:r w:rsidR="00500951" w:rsidRPr="00500951">
        <w:rPr>
          <w:rFonts w:ascii="Times New Roman" w:hAnsi="Times New Roman"/>
          <w:sz w:val="24"/>
          <w:szCs w:val="24"/>
        </w:rPr>
        <w:t xml:space="preserve">.  We conducted our audit in accordance with </w:t>
      </w:r>
      <w:r w:rsidR="00696C26">
        <w:rPr>
          <w:rFonts w:ascii="Times New Roman" w:hAnsi="Times New Roman"/>
          <w:sz w:val="24"/>
          <w:szCs w:val="24"/>
        </w:rPr>
        <w:t>International</w:t>
      </w:r>
      <w:r w:rsidR="00500951" w:rsidRPr="00500951">
        <w:rPr>
          <w:rFonts w:ascii="Times New Roman" w:hAnsi="Times New Roman"/>
          <w:sz w:val="24"/>
          <w:szCs w:val="24"/>
        </w:rPr>
        <w:t xml:space="preserve"> </w:t>
      </w:r>
      <w:r w:rsidR="00B15F64">
        <w:rPr>
          <w:rFonts w:ascii="Times New Roman" w:hAnsi="Times New Roman"/>
          <w:sz w:val="24"/>
          <w:szCs w:val="24"/>
        </w:rPr>
        <w:t>Standards of Supreme Audit Institutions</w:t>
      </w:r>
      <w:r w:rsidR="00500951" w:rsidRPr="00500951">
        <w:rPr>
          <w:rFonts w:ascii="Times New Roman" w:hAnsi="Times New Roman"/>
          <w:sz w:val="24"/>
          <w:szCs w:val="24"/>
        </w:rPr>
        <w:t xml:space="preserve">. The objectives of the audit were to (a) verify the level of assurance that </w:t>
      </w:r>
      <w:r w:rsidR="00500951" w:rsidRPr="00500951">
        <w:rPr>
          <w:rFonts w:ascii="Times New Roman" w:hAnsi="Times New Roman"/>
          <w:sz w:val="24"/>
          <w:szCs w:val="24"/>
        </w:rPr>
        <w:lastRenderedPageBreak/>
        <w:t xml:space="preserve">may be placed on management’s assertions on the financial statements; (b) recommend agency improvement opportunities; and (c) determine the extent of implementation of prior years’ audit recommendations.  The thrust areas identified in the audit instructions were audited on </w:t>
      </w:r>
      <w:r w:rsidR="00BF4251">
        <w:rPr>
          <w:rFonts w:ascii="Times New Roman" w:hAnsi="Times New Roman"/>
          <w:sz w:val="24"/>
          <w:szCs w:val="24"/>
        </w:rPr>
        <w:t xml:space="preserve">a </w:t>
      </w:r>
      <w:r w:rsidR="00500951" w:rsidRPr="00500951">
        <w:rPr>
          <w:rFonts w:ascii="Times New Roman" w:hAnsi="Times New Roman"/>
          <w:sz w:val="24"/>
          <w:szCs w:val="24"/>
        </w:rPr>
        <w:t>sampling basis and the findings are incorporated in Part II of the report, as follows:</w:t>
      </w:r>
    </w:p>
    <w:p w14:paraId="79FB79FF" w14:textId="77777777" w:rsidR="00500951" w:rsidRPr="00500951" w:rsidRDefault="00500951" w:rsidP="00500951">
      <w:pPr>
        <w:tabs>
          <w:tab w:val="left" w:pos="360"/>
        </w:tabs>
        <w:contextualSpacing/>
        <w:rPr>
          <w:rFonts w:ascii="Times New Roman" w:hAnsi="Times New Roman"/>
          <w:sz w:val="24"/>
          <w:szCs w:val="24"/>
        </w:rPr>
      </w:pPr>
    </w:p>
    <w:p w14:paraId="3F842612" w14:textId="77777777" w:rsidR="00C24135" w:rsidRPr="00DA2C11" w:rsidRDefault="00C24135" w:rsidP="004125BA">
      <w:pPr>
        <w:pStyle w:val="Heading2"/>
        <w:numPr>
          <w:ilvl w:val="0"/>
          <w:numId w:val="5"/>
        </w:numPr>
        <w:rPr>
          <w:rFonts w:ascii="Times New Roman" w:hAnsi="Times New Roman" w:cs="Times New Roman"/>
          <w:color w:val="000000" w:themeColor="text1"/>
          <w:sz w:val="24"/>
          <w:szCs w:val="24"/>
        </w:rPr>
      </w:pPr>
      <w:r w:rsidRPr="00DA2C11">
        <w:rPr>
          <w:rFonts w:ascii="Times New Roman" w:hAnsi="Times New Roman" w:cs="Times New Roman"/>
          <w:color w:val="000000" w:themeColor="text1"/>
          <w:sz w:val="24"/>
          <w:szCs w:val="24"/>
        </w:rPr>
        <w:t>Financial Audit</w:t>
      </w:r>
    </w:p>
    <w:p w14:paraId="4BB552E3" w14:textId="77777777" w:rsidR="00C24135" w:rsidRDefault="00C24135" w:rsidP="00C24135">
      <w:pPr>
        <w:pStyle w:val="ListParagraph"/>
        <w:rPr>
          <w:b/>
        </w:rPr>
      </w:pPr>
    </w:p>
    <w:p w14:paraId="063999D9" w14:textId="77777777" w:rsidR="00C24135" w:rsidRPr="00DA2C11" w:rsidRDefault="00C24135" w:rsidP="004125BA">
      <w:pPr>
        <w:pStyle w:val="ListParagraph"/>
        <w:numPr>
          <w:ilvl w:val="0"/>
          <w:numId w:val="3"/>
        </w:numPr>
      </w:pPr>
      <w:r w:rsidRPr="00DA2C11">
        <w:t>Audit of Financial Statements:</w:t>
      </w:r>
    </w:p>
    <w:p w14:paraId="6ACFC2F7" w14:textId="77777777" w:rsidR="00C24135" w:rsidRDefault="00C24135" w:rsidP="004125BA">
      <w:pPr>
        <w:pStyle w:val="ListParagraph"/>
        <w:numPr>
          <w:ilvl w:val="1"/>
          <w:numId w:val="3"/>
        </w:numPr>
      </w:pPr>
      <w:r w:rsidRPr="00F10CA9">
        <w:t>Cash and Cash Equivalents</w:t>
      </w:r>
    </w:p>
    <w:p w14:paraId="3F777338" w14:textId="77777777" w:rsidR="00C24135" w:rsidRDefault="00C24135" w:rsidP="004125BA">
      <w:pPr>
        <w:pStyle w:val="ListParagraph"/>
        <w:numPr>
          <w:ilvl w:val="1"/>
          <w:numId w:val="3"/>
        </w:numPr>
      </w:pPr>
      <w:r>
        <w:t>Receivables</w:t>
      </w:r>
    </w:p>
    <w:p w14:paraId="648BFDFD" w14:textId="77777777" w:rsidR="00C24135" w:rsidRDefault="00C24135" w:rsidP="004125BA">
      <w:pPr>
        <w:pStyle w:val="ListParagraph"/>
        <w:numPr>
          <w:ilvl w:val="1"/>
          <w:numId w:val="3"/>
        </w:numPr>
      </w:pPr>
      <w:r>
        <w:t>Inventories</w:t>
      </w:r>
    </w:p>
    <w:p w14:paraId="699BBA29" w14:textId="77777777" w:rsidR="00C24135" w:rsidRDefault="00C24135" w:rsidP="004125BA">
      <w:pPr>
        <w:pStyle w:val="ListParagraph"/>
        <w:numPr>
          <w:ilvl w:val="1"/>
          <w:numId w:val="3"/>
        </w:numPr>
      </w:pPr>
      <w:r>
        <w:t>Property, Plant and Equipment</w:t>
      </w:r>
    </w:p>
    <w:p w14:paraId="16419C46" w14:textId="77777777" w:rsidR="00C24135" w:rsidRDefault="00C24135" w:rsidP="004125BA">
      <w:pPr>
        <w:pStyle w:val="ListParagraph"/>
        <w:numPr>
          <w:ilvl w:val="1"/>
          <w:numId w:val="3"/>
        </w:numPr>
      </w:pPr>
      <w:r>
        <w:t>Financial Liabilities</w:t>
      </w:r>
    </w:p>
    <w:p w14:paraId="6E14FA0D" w14:textId="4F1AAA5B" w:rsidR="00C24135" w:rsidRDefault="00C24135" w:rsidP="004125BA">
      <w:pPr>
        <w:pStyle w:val="ListParagraph"/>
        <w:numPr>
          <w:ilvl w:val="1"/>
          <w:numId w:val="3"/>
        </w:numPr>
      </w:pPr>
      <w:r>
        <w:t>Inter-Agenc</w:t>
      </w:r>
      <w:r w:rsidR="00BF4251">
        <w:t>y</w:t>
      </w:r>
      <w:r>
        <w:t xml:space="preserve"> Payables</w:t>
      </w:r>
    </w:p>
    <w:p w14:paraId="35C9AFA5" w14:textId="77777777" w:rsidR="00C24135" w:rsidRDefault="00C24135" w:rsidP="00C24135">
      <w:pPr>
        <w:pStyle w:val="ListParagraph"/>
        <w:ind w:left="1080"/>
      </w:pPr>
    </w:p>
    <w:p w14:paraId="15642E93" w14:textId="77777777" w:rsidR="00C24135" w:rsidRPr="00DA2C11" w:rsidRDefault="00C24135" w:rsidP="004125BA">
      <w:pPr>
        <w:pStyle w:val="Heading2"/>
        <w:numPr>
          <w:ilvl w:val="0"/>
          <w:numId w:val="5"/>
        </w:numPr>
        <w:rPr>
          <w:rFonts w:ascii="Times New Roman" w:hAnsi="Times New Roman" w:cs="Times New Roman"/>
          <w:color w:val="000000" w:themeColor="text1"/>
          <w:sz w:val="24"/>
          <w:szCs w:val="24"/>
        </w:rPr>
      </w:pPr>
      <w:r>
        <w:rPr>
          <w:b/>
        </w:rPr>
        <w:t xml:space="preserve"> </w:t>
      </w:r>
      <w:r w:rsidRPr="00DA2C11">
        <w:rPr>
          <w:rFonts w:ascii="Times New Roman" w:hAnsi="Times New Roman" w:cs="Times New Roman"/>
          <w:color w:val="000000" w:themeColor="text1"/>
          <w:sz w:val="24"/>
          <w:szCs w:val="24"/>
        </w:rPr>
        <w:t>Compliance Audit</w:t>
      </w:r>
    </w:p>
    <w:p w14:paraId="3F5B8AE1" w14:textId="77777777" w:rsidR="00C24135" w:rsidRDefault="00C24135" w:rsidP="00C24135">
      <w:pPr>
        <w:pStyle w:val="ListParagraph"/>
        <w:ind w:left="0"/>
        <w:rPr>
          <w:b/>
        </w:rPr>
      </w:pPr>
    </w:p>
    <w:p w14:paraId="35EBAC89" w14:textId="03037277" w:rsidR="00C24135" w:rsidRDefault="00C24135" w:rsidP="004125BA">
      <w:pPr>
        <w:pStyle w:val="ListParagraph"/>
        <w:numPr>
          <w:ilvl w:val="0"/>
          <w:numId w:val="4"/>
        </w:numPr>
        <w:jc w:val="both"/>
      </w:pPr>
      <w:r>
        <w:t>Enforcement of timely submission of financial statements, reports and supporting documents such as paid vouchers and official receipts</w:t>
      </w:r>
      <w:r w:rsidR="00BF4251">
        <w:t>;</w:t>
      </w:r>
    </w:p>
    <w:p w14:paraId="2D46D298" w14:textId="73B2A269" w:rsidR="00C24135" w:rsidRDefault="00C24135" w:rsidP="004125BA">
      <w:pPr>
        <w:pStyle w:val="ListParagraph"/>
        <w:numPr>
          <w:ilvl w:val="0"/>
          <w:numId w:val="4"/>
        </w:numPr>
        <w:jc w:val="both"/>
      </w:pPr>
      <w:r>
        <w:t>Enforcement of COA issuances on immediate liquidation and settlement of outstanding cash advances under, among others, COA Circular No. 2012-004, COA Memorandum No. 2015-072, COA Memorandum No. 2004-014, giving priority to recent transactions that can be fully documented</w:t>
      </w:r>
      <w:r w:rsidR="00BF4251">
        <w:t>;</w:t>
      </w:r>
    </w:p>
    <w:p w14:paraId="1109EE5C" w14:textId="4BC9EEA2" w:rsidR="00C24135" w:rsidRDefault="00C24135" w:rsidP="004125BA">
      <w:pPr>
        <w:pStyle w:val="ListParagraph"/>
        <w:numPr>
          <w:ilvl w:val="0"/>
          <w:numId w:val="4"/>
        </w:numPr>
        <w:jc w:val="both"/>
      </w:pPr>
      <w:r>
        <w:t>Expanded Students’ Grants-in-Aid Program for Poverty Alleviation (ESGP-PA) and Tulong Dunong Program</w:t>
      </w:r>
      <w:r w:rsidR="00BF4251">
        <w:t>;</w:t>
      </w:r>
    </w:p>
    <w:p w14:paraId="4509EA6E" w14:textId="228077A8" w:rsidR="00C24135" w:rsidRDefault="00C24135" w:rsidP="004125BA">
      <w:pPr>
        <w:pStyle w:val="ListParagraph"/>
        <w:numPr>
          <w:ilvl w:val="0"/>
          <w:numId w:val="4"/>
        </w:numPr>
        <w:jc w:val="both"/>
      </w:pPr>
      <w:r>
        <w:t>Compliance by the agencies with their obligations under the MOA covering funds transferred to them by other government agencies</w:t>
      </w:r>
      <w:r w:rsidR="00BF4251">
        <w:t>;</w:t>
      </w:r>
    </w:p>
    <w:p w14:paraId="287361D8" w14:textId="339560ED" w:rsidR="00C24135" w:rsidRDefault="00C24135" w:rsidP="004125BA">
      <w:pPr>
        <w:pStyle w:val="ListParagraph"/>
        <w:numPr>
          <w:ilvl w:val="0"/>
          <w:numId w:val="4"/>
        </w:numPr>
        <w:jc w:val="both"/>
      </w:pPr>
      <w:r>
        <w:t>Compliance with R.A.</w:t>
      </w:r>
      <w:r w:rsidR="00BF4251">
        <w:t xml:space="preserve"> No.</w:t>
      </w:r>
      <w:r>
        <w:t xml:space="preserve"> 9184</w:t>
      </w:r>
      <w:r w:rsidR="00BF4251">
        <w:t>;</w:t>
      </w:r>
    </w:p>
    <w:p w14:paraId="6D7D53D0" w14:textId="10969EED" w:rsidR="00C24135" w:rsidRDefault="00C24135" w:rsidP="004125BA">
      <w:pPr>
        <w:pStyle w:val="ListParagraph"/>
        <w:numPr>
          <w:ilvl w:val="0"/>
          <w:numId w:val="4"/>
        </w:numPr>
        <w:jc w:val="both"/>
      </w:pPr>
      <w:r>
        <w:t>Compliance with R.A. No. 8291 (GSIS)</w:t>
      </w:r>
      <w:r w:rsidR="00BF4251">
        <w:t>;</w:t>
      </w:r>
    </w:p>
    <w:p w14:paraId="7C05432D" w14:textId="1A406B4C" w:rsidR="00C24135" w:rsidRDefault="00C24135" w:rsidP="004125BA">
      <w:pPr>
        <w:pStyle w:val="ListParagraph"/>
        <w:numPr>
          <w:ilvl w:val="0"/>
          <w:numId w:val="4"/>
        </w:numPr>
        <w:jc w:val="both"/>
      </w:pPr>
      <w:r>
        <w:t>Programs and projects related to Gender and Development</w:t>
      </w:r>
      <w:r w:rsidR="00BF4251">
        <w:t xml:space="preserve"> (GAD); </w:t>
      </w:r>
    </w:p>
    <w:p w14:paraId="70EF15D9" w14:textId="2D2BF589" w:rsidR="00C24135" w:rsidRDefault="00C24135" w:rsidP="004125BA">
      <w:pPr>
        <w:pStyle w:val="ListParagraph"/>
        <w:numPr>
          <w:ilvl w:val="0"/>
          <w:numId w:val="4"/>
        </w:numPr>
        <w:jc w:val="both"/>
      </w:pPr>
      <w:r>
        <w:t>Compliance with tax laws and regulations</w:t>
      </w:r>
      <w:r w:rsidR="00BF4251">
        <w:t>; and</w:t>
      </w:r>
    </w:p>
    <w:p w14:paraId="1F261374" w14:textId="0A775A12" w:rsidR="00C24135" w:rsidRDefault="00C24135" w:rsidP="004125BA">
      <w:pPr>
        <w:pStyle w:val="ListParagraph"/>
        <w:numPr>
          <w:ilvl w:val="0"/>
          <w:numId w:val="4"/>
        </w:numPr>
        <w:jc w:val="both"/>
      </w:pPr>
      <w:r>
        <w:t>Compliance with R.A. No. 9679 (Pag-IBIG)</w:t>
      </w:r>
    </w:p>
    <w:p w14:paraId="12C51918" w14:textId="77777777" w:rsidR="00500951" w:rsidRPr="007C3CA0" w:rsidRDefault="00500951" w:rsidP="00500951">
      <w:pPr>
        <w:pStyle w:val="ListParagraph"/>
        <w:ind w:left="1080"/>
        <w:jc w:val="both"/>
      </w:pPr>
    </w:p>
    <w:p w14:paraId="2E6059EE" w14:textId="77777777" w:rsidR="00500951" w:rsidRDefault="00500951" w:rsidP="00500951">
      <w:pPr>
        <w:tabs>
          <w:tab w:val="left" w:pos="0"/>
        </w:tabs>
        <w:jc w:val="both"/>
        <w:rPr>
          <w:b/>
          <w:i/>
        </w:rPr>
      </w:pPr>
    </w:p>
    <w:p w14:paraId="4166B961" w14:textId="77777777" w:rsidR="001D409D" w:rsidRPr="006A0238" w:rsidRDefault="00701B86" w:rsidP="00C24135">
      <w:pPr>
        <w:pStyle w:val="Heading1"/>
        <w:numPr>
          <w:ilvl w:val="0"/>
          <w:numId w:val="2"/>
        </w:numPr>
        <w:rPr>
          <w:b w:val="0"/>
          <w:i/>
          <w:caps/>
        </w:rPr>
      </w:pPr>
      <w:r w:rsidRPr="006A0238">
        <w:rPr>
          <w:i/>
        </w:rPr>
        <w:t>Independent Auditor’s Report</w:t>
      </w:r>
    </w:p>
    <w:p w14:paraId="1CE2A7BD" w14:textId="77777777" w:rsidR="001D409D" w:rsidRPr="006A0238" w:rsidRDefault="001D409D" w:rsidP="00CE630C">
      <w:pPr>
        <w:tabs>
          <w:tab w:val="left" w:pos="0"/>
        </w:tabs>
        <w:contextualSpacing/>
        <w:jc w:val="both"/>
        <w:rPr>
          <w:rFonts w:ascii="Times New Roman" w:hAnsi="Times New Roman"/>
          <w:caps/>
          <w:sz w:val="24"/>
          <w:szCs w:val="24"/>
        </w:rPr>
      </w:pPr>
    </w:p>
    <w:p w14:paraId="0BBB5A2B" w14:textId="557238D5" w:rsidR="00F40E12" w:rsidRPr="00F40E12" w:rsidRDefault="005F75DD" w:rsidP="00F40E12">
      <w:pPr>
        <w:jc w:val="both"/>
        <w:rPr>
          <w:rFonts w:ascii="Times New Roman" w:hAnsi="Times New Roman"/>
          <w:sz w:val="24"/>
          <w:szCs w:val="24"/>
        </w:rPr>
      </w:pPr>
      <w:r w:rsidRPr="006A0238">
        <w:rPr>
          <w:rFonts w:ascii="Times New Roman" w:hAnsi="Times New Roman"/>
          <w:color w:val="000000"/>
          <w:sz w:val="24"/>
          <w:szCs w:val="24"/>
        </w:rPr>
        <w:t>We rendered a</w:t>
      </w:r>
      <w:r w:rsidR="0023561F">
        <w:rPr>
          <w:rFonts w:ascii="Times New Roman" w:hAnsi="Times New Roman"/>
          <w:color w:val="000000"/>
          <w:sz w:val="24"/>
          <w:szCs w:val="24"/>
        </w:rPr>
        <w:t xml:space="preserve"> </w:t>
      </w:r>
      <w:r w:rsidR="00167D29">
        <w:rPr>
          <w:rFonts w:ascii="Times New Roman" w:hAnsi="Times New Roman"/>
          <w:color w:val="000000"/>
          <w:sz w:val="24"/>
          <w:szCs w:val="24"/>
        </w:rPr>
        <w:t>q</w:t>
      </w:r>
      <w:r w:rsidR="0023561F">
        <w:rPr>
          <w:rFonts w:ascii="Times New Roman" w:hAnsi="Times New Roman"/>
          <w:color w:val="000000"/>
          <w:sz w:val="24"/>
          <w:szCs w:val="24"/>
        </w:rPr>
        <w:t xml:space="preserve">ualified </w:t>
      </w:r>
      <w:r w:rsidR="00167D29">
        <w:rPr>
          <w:rFonts w:ascii="Times New Roman" w:hAnsi="Times New Roman"/>
          <w:color w:val="000000"/>
          <w:sz w:val="24"/>
          <w:szCs w:val="24"/>
        </w:rPr>
        <w:t>o</w:t>
      </w:r>
      <w:r w:rsidR="0023561F">
        <w:rPr>
          <w:rFonts w:ascii="Times New Roman" w:hAnsi="Times New Roman"/>
          <w:color w:val="000000"/>
          <w:sz w:val="24"/>
          <w:szCs w:val="24"/>
        </w:rPr>
        <w:t>pinion</w:t>
      </w:r>
      <w:r w:rsidR="005F0457">
        <w:rPr>
          <w:rFonts w:ascii="Times New Roman" w:hAnsi="Times New Roman"/>
          <w:color w:val="000000"/>
          <w:sz w:val="24"/>
          <w:szCs w:val="24"/>
        </w:rPr>
        <w:t xml:space="preserve">  </w:t>
      </w:r>
      <w:r w:rsidRPr="006A0238">
        <w:rPr>
          <w:rFonts w:ascii="Times New Roman" w:hAnsi="Times New Roman"/>
          <w:color w:val="000000"/>
          <w:sz w:val="24"/>
          <w:szCs w:val="24"/>
        </w:rPr>
        <w:t>on the</w:t>
      </w:r>
      <w:r w:rsidR="008779AA" w:rsidRPr="006A0238">
        <w:rPr>
          <w:rFonts w:ascii="Times New Roman" w:hAnsi="Times New Roman"/>
          <w:sz w:val="24"/>
          <w:szCs w:val="24"/>
        </w:rPr>
        <w:t xml:space="preserve"> fairness of the presentation </w:t>
      </w:r>
      <w:r w:rsidR="006A0238" w:rsidRPr="006A0238">
        <w:rPr>
          <w:rFonts w:ascii="Times New Roman" w:hAnsi="Times New Roman"/>
          <w:sz w:val="24"/>
          <w:szCs w:val="24"/>
        </w:rPr>
        <w:t xml:space="preserve">of the financial statements </w:t>
      </w:r>
      <w:r w:rsidR="008779AA" w:rsidRPr="006A0238">
        <w:rPr>
          <w:rFonts w:ascii="Times New Roman" w:hAnsi="Times New Roman"/>
          <w:sz w:val="24"/>
          <w:szCs w:val="24"/>
        </w:rPr>
        <w:t>of the Bulacan Agricultural State College (BASC)</w:t>
      </w:r>
      <w:r w:rsidR="006A0238" w:rsidRPr="006A0238">
        <w:rPr>
          <w:rFonts w:ascii="Times New Roman" w:hAnsi="Times New Roman"/>
          <w:sz w:val="24"/>
          <w:szCs w:val="24"/>
        </w:rPr>
        <w:t xml:space="preserve"> for the year ended</w:t>
      </w:r>
      <w:r w:rsidR="00D61779">
        <w:rPr>
          <w:rFonts w:ascii="Times New Roman" w:hAnsi="Times New Roman"/>
          <w:sz w:val="24"/>
          <w:szCs w:val="24"/>
        </w:rPr>
        <w:t xml:space="preserve"> December 31, 2020</w:t>
      </w:r>
      <w:r w:rsidR="003538BD">
        <w:rPr>
          <w:rFonts w:ascii="Times New Roman" w:hAnsi="Times New Roman"/>
          <w:sz w:val="24"/>
          <w:szCs w:val="24"/>
        </w:rPr>
        <w:t xml:space="preserve">  due </w:t>
      </w:r>
      <w:r w:rsidR="003538BD" w:rsidRPr="00167D29">
        <w:rPr>
          <w:rFonts w:ascii="Times New Roman" w:hAnsi="Times New Roman"/>
          <w:sz w:val="24"/>
          <w:szCs w:val="24"/>
        </w:rPr>
        <w:t>to</w:t>
      </w:r>
      <w:r w:rsidR="00F40E12">
        <w:rPr>
          <w:rFonts w:ascii="Times New Roman" w:hAnsi="Times New Roman"/>
          <w:sz w:val="24"/>
          <w:szCs w:val="24"/>
        </w:rPr>
        <w:t xml:space="preserve"> accounting deficiencies and errors noted on different accounts, such as</w:t>
      </w:r>
      <w:r w:rsidR="003538BD" w:rsidRPr="00167D29">
        <w:rPr>
          <w:rFonts w:ascii="Times New Roman" w:hAnsi="Times New Roman"/>
          <w:sz w:val="24"/>
          <w:szCs w:val="24"/>
        </w:rPr>
        <w:t xml:space="preserve"> </w:t>
      </w:r>
      <w:r w:rsidR="00F40E12">
        <w:rPr>
          <w:sz w:val="24"/>
          <w:szCs w:val="24"/>
        </w:rPr>
        <w:t xml:space="preserve">(1) </w:t>
      </w:r>
      <w:r w:rsidR="00F40E12" w:rsidRPr="00F40E12">
        <w:rPr>
          <w:rFonts w:ascii="Times New Roman" w:hAnsi="Times New Roman"/>
          <w:sz w:val="24"/>
          <w:szCs w:val="24"/>
        </w:rPr>
        <w:t>overstatement by a net amount of ₱</w:t>
      </w:r>
      <w:r w:rsidR="00F40E12" w:rsidRPr="00F40E12">
        <w:rPr>
          <w:rFonts w:ascii="Times New Roman" w:hAnsi="Times New Roman"/>
          <w:sz w:val="24"/>
          <w:szCs w:val="24"/>
          <w:lang w:val="en-PH"/>
        </w:rPr>
        <w:t xml:space="preserve">544,085.65 in the Cash in Bank account due to </w:t>
      </w:r>
      <w:r w:rsidR="00F40E12" w:rsidRPr="00F40E12">
        <w:rPr>
          <w:rFonts w:ascii="Times New Roman" w:hAnsi="Times New Roman"/>
          <w:sz w:val="24"/>
          <w:szCs w:val="24"/>
        </w:rPr>
        <w:t xml:space="preserve">unadjusted stale and cancelled checks of ₱117,753.77 and erroneous recording of outstanding checks amounting to ₱661,839.42; (2) overstatement of 70 heads of reported number of breeder stocks compared to the actual physical count; </w:t>
      </w:r>
      <w:r w:rsidR="00F40E12">
        <w:rPr>
          <w:rFonts w:ascii="Times New Roman" w:hAnsi="Times New Roman"/>
          <w:sz w:val="24"/>
          <w:szCs w:val="24"/>
        </w:rPr>
        <w:t xml:space="preserve">and </w:t>
      </w:r>
      <w:r w:rsidR="00F40E12" w:rsidRPr="00F40E12">
        <w:rPr>
          <w:rFonts w:ascii="Times New Roman" w:hAnsi="Times New Roman"/>
          <w:sz w:val="24"/>
          <w:szCs w:val="24"/>
          <w:lang w:val="id-ID"/>
        </w:rPr>
        <w:t xml:space="preserve">non-recognition of </w:t>
      </w:r>
      <w:r w:rsidR="00F40E12" w:rsidRPr="00F40E12">
        <w:rPr>
          <w:rFonts w:ascii="Times New Roman" w:hAnsi="Times New Roman"/>
          <w:sz w:val="24"/>
          <w:szCs w:val="24"/>
        </w:rPr>
        <w:t xml:space="preserve">different </w:t>
      </w:r>
      <w:r w:rsidR="00F40E12" w:rsidRPr="00F40E12">
        <w:rPr>
          <w:rFonts w:ascii="Times New Roman" w:hAnsi="Times New Roman"/>
          <w:sz w:val="24"/>
          <w:szCs w:val="24"/>
          <w:lang w:val="id-ID"/>
        </w:rPr>
        <w:t>livestock</w:t>
      </w:r>
      <w:r w:rsidR="00F40E12" w:rsidRPr="00F40E12">
        <w:rPr>
          <w:rFonts w:ascii="Times New Roman" w:hAnsi="Times New Roman"/>
          <w:sz w:val="24"/>
          <w:szCs w:val="24"/>
        </w:rPr>
        <w:t xml:space="preserve"> understating the Biological Assets account by </w:t>
      </w:r>
      <w:r w:rsidR="00F40E12" w:rsidRPr="00F40E12">
        <w:rPr>
          <w:rFonts w:ascii="Times New Roman" w:hAnsi="Times New Roman"/>
          <w:color w:val="000000"/>
          <w:sz w:val="24"/>
          <w:szCs w:val="24"/>
        </w:rPr>
        <w:t>₱62,160.00</w:t>
      </w:r>
      <w:r w:rsidR="00F40E12" w:rsidRPr="00F40E12">
        <w:rPr>
          <w:rFonts w:ascii="Times New Roman" w:hAnsi="Times New Roman"/>
          <w:sz w:val="24"/>
          <w:szCs w:val="24"/>
        </w:rPr>
        <w:t>; (</w:t>
      </w:r>
      <w:r w:rsidR="00F40E12">
        <w:rPr>
          <w:rFonts w:ascii="Times New Roman" w:hAnsi="Times New Roman"/>
          <w:sz w:val="24"/>
          <w:szCs w:val="24"/>
        </w:rPr>
        <w:t>3</w:t>
      </w:r>
      <w:r w:rsidR="00F40E12" w:rsidRPr="00F40E12">
        <w:rPr>
          <w:rFonts w:ascii="Times New Roman" w:hAnsi="Times New Roman"/>
          <w:sz w:val="24"/>
          <w:szCs w:val="24"/>
        </w:rPr>
        <w:t xml:space="preserve">) </w:t>
      </w:r>
      <w:r w:rsidR="00F40E12" w:rsidRPr="00F40E12">
        <w:rPr>
          <w:rFonts w:ascii="Times New Roman" w:hAnsi="Times New Roman"/>
          <w:b/>
          <w:bCs/>
          <w:i/>
          <w:iCs/>
          <w:lang w:val="id-ID"/>
        </w:rPr>
        <w:t xml:space="preserve"> </w:t>
      </w:r>
      <w:r w:rsidR="00F40E12" w:rsidRPr="00F40E12">
        <w:rPr>
          <w:rFonts w:ascii="Times New Roman" w:hAnsi="Times New Roman"/>
          <w:sz w:val="24"/>
          <w:szCs w:val="24"/>
        </w:rPr>
        <w:t>unreconciled difference of ₱</w:t>
      </w:r>
      <w:r w:rsidR="00F40E12" w:rsidRPr="00F40E12">
        <w:rPr>
          <w:rFonts w:ascii="Times New Roman" w:hAnsi="Times New Roman"/>
          <w:sz w:val="24"/>
          <w:szCs w:val="24"/>
          <w:lang w:val="id-ID"/>
        </w:rPr>
        <w:t xml:space="preserve">703,905.83 </w:t>
      </w:r>
      <w:r w:rsidR="00F40E12" w:rsidRPr="00F40E12">
        <w:rPr>
          <w:rFonts w:ascii="Times New Roman" w:hAnsi="Times New Roman"/>
          <w:sz w:val="24"/>
          <w:szCs w:val="24"/>
        </w:rPr>
        <w:t xml:space="preserve">between the accounting and property records for </w:t>
      </w:r>
      <w:r w:rsidR="00F40E12" w:rsidRPr="00F40E12">
        <w:rPr>
          <w:rFonts w:ascii="Times New Roman" w:hAnsi="Times New Roman"/>
          <w:sz w:val="24"/>
          <w:szCs w:val="24"/>
        </w:rPr>
        <w:lastRenderedPageBreak/>
        <w:t>the Inventories account;  incomplete inventory-taking</w:t>
      </w:r>
      <w:r w:rsidR="00F40E12" w:rsidRPr="00F40E12">
        <w:rPr>
          <w:rFonts w:ascii="Times New Roman" w:hAnsi="Times New Roman"/>
          <w:sz w:val="24"/>
          <w:szCs w:val="24"/>
          <w:lang w:val="id-ID"/>
        </w:rPr>
        <w:t>;</w:t>
      </w:r>
      <w:r w:rsidR="00F40E12" w:rsidRPr="00F40E12">
        <w:rPr>
          <w:rFonts w:ascii="Times New Roman" w:hAnsi="Times New Roman"/>
          <w:sz w:val="24"/>
          <w:szCs w:val="24"/>
        </w:rPr>
        <w:t xml:space="preserve"> and</w:t>
      </w:r>
      <w:r w:rsidR="00F40E12" w:rsidRPr="00F40E12">
        <w:rPr>
          <w:rFonts w:ascii="Times New Roman" w:hAnsi="Times New Roman"/>
          <w:sz w:val="24"/>
          <w:szCs w:val="24"/>
          <w:lang w:val="id-ID"/>
        </w:rPr>
        <w:t xml:space="preserve"> </w:t>
      </w:r>
      <w:r w:rsidR="00F40E12" w:rsidRPr="00F40E12">
        <w:rPr>
          <w:rFonts w:ascii="Times New Roman" w:hAnsi="Times New Roman"/>
          <w:sz w:val="24"/>
          <w:szCs w:val="24"/>
        </w:rPr>
        <w:t>non-maintenance of Supplies Ledger Card</w:t>
      </w:r>
      <w:r w:rsidR="00F40E12" w:rsidRPr="00F40E12">
        <w:rPr>
          <w:rFonts w:ascii="Times New Roman" w:hAnsi="Times New Roman"/>
          <w:sz w:val="24"/>
          <w:szCs w:val="24"/>
          <w:lang w:val="id-ID"/>
        </w:rPr>
        <w:t xml:space="preserve"> (SLC)</w:t>
      </w:r>
      <w:r w:rsidR="00F40E12" w:rsidRPr="00F40E12">
        <w:rPr>
          <w:rFonts w:ascii="Times New Roman" w:hAnsi="Times New Roman"/>
          <w:sz w:val="24"/>
          <w:szCs w:val="24"/>
        </w:rPr>
        <w:t xml:space="preserve"> by the Accounting Unit; and (</w:t>
      </w:r>
      <w:r w:rsidR="00F40E12">
        <w:rPr>
          <w:rFonts w:ascii="Times New Roman" w:hAnsi="Times New Roman"/>
          <w:sz w:val="24"/>
          <w:szCs w:val="24"/>
        </w:rPr>
        <w:t>4</w:t>
      </w:r>
      <w:r w:rsidR="00F40E12" w:rsidRPr="00F40E12">
        <w:rPr>
          <w:rFonts w:ascii="Times New Roman" w:hAnsi="Times New Roman"/>
          <w:sz w:val="24"/>
          <w:szCs w:val="24"/>
        </w:rPr>
        <w:t>)</w:t>
      </w:r>
      <w:r w:rsidR="00F40E12" w:rsidRPr="00F40E12">
        <w:rPr>
          <w:rFonts w:ascii="Times New Roman" w:hAnsi="Times New Roman"/>
          <w:b/>
          <w:bCs/>
          <w:i/>
          <w:iCs/>
        </w:rPr>
        <w:t xml:space="preserve"> </w:t>
      </w:r>
      <w:r w:rsidR="00F40E12" w:rsidRPr="00F40E12">
        <w:rPr>
          <w:rFonts w:ascii="Times New Roman" w:hAnsi="Times New Roman"/>
          <w:sz w:val="24"/>
          <w:szCs w:val="24"/>
        </w:rPr>
        <w:t>inclusion of semi-expendable items of ₱1,911,353.33, with unit value below the capitalization threshold of ₱15,000.00, overstating the Property, Plant and Equipment (PPE) accounts; unrecorded parcels of land of undetermined amount with an area of 5,341,901 square meters (sqm); non-derecognition of unserviceable PPEs aggregating to ₱399,075.41;  non-maintenance of PPE Ledger Cards (PPELCs) by the Accounting Unit; and (e) unfinished physical count of PPEs.</w:t>
      </w:r>
    </w:p>
    <w:p w14:paraId="04A0BF2A" w14:textId="2D7ED30D" w:rsidR="004643F0" w:rsidRPr="00167D29" w:rsidRDefault="004643F0" w:rsidP="008779AA">
      <w:pPr>
        <w:ind w:firstLine="720"/>
        <w:jc w:val="both"/>
        <w:rPr>
          <w:rFonts w:ascii="Times New Roman" w:hAnsi="Times New Roman"/>
          <w:sz w:val="24"/>
          <w:szCs w:val="24"/>
        </w:rPr>
      </w:pPr>
    </w:p>
    <w:p w14:paraId="76C3D84A" w14:textId="520B94AD" w:rsidR="004643F0" w:rsidRDefault="00167D29" w:rsidP="00167D29">
      <w:pPr>
        <w:ind w:firstLine="720"/>
        <w:jc w:val="both"/>
        <w:rPr>
          <w:rFonts w:ascii="Times New Roman" w:hAnsi="Times New Roman"/>
          <w:sz w:val="24"/>
          <w:szCs w:val="24"/>
        </w:rPr>
      </w:pPr>
      <w:r>
        <w:rPr>
          <w:rFonts w:ascii="Times New Roman" w:hAnsi="Times New Roman"/>
          <w:sz w:val="24"/>
          <w:szCs w:val="24"/>
        </w:rPr>
        <w:t>In view of the for</w:t>
      </w:r>
      <w:r w:rsidR="006F500E">
        <w:rPr>
          <w:rFonts w:ascii="Times New Roman" w:hAnsi="Times New Roman"/>
          <w:sz w:val="24"/>
          <w:szCs w:val="24"/>
        </w:rPr>
        <w:t>eg</w:t>
      </w:r>
      <w:r>
        <w:rPr>
          <w:rFonts w:ascii="Times New Roman" w:hAnsi="Times New Roman"/>
          <w:sz w:val="24"/>
          <w:szCs w:val="24"/>
        </w:rPr>
        <w:t>oing, we recommended and management agreed to undertake the following courses of action:</w:t>
      </w:r>
    </w:p>
    <w:p w14:paraId="1722BE64" w14:textId="2AEEC64A" w:rsidR="00167D29" w:rsidRDefault="00167D29" w:rsidP="00167D29">
      <w:pPr>
        <w:ind w:firstLine="720"/>
        <w:jc w:val="both"/>
        <w:rPr>
          <w:rFonts w:ascii="Times New Roman" w:hAnsi="Times New Roman"/>
          <w:sz w:val="24"/>
          <w:szCs w:val="24"/>
        </w:rPr>
      </w:pPr>
    </w:p>
    <w:p w14:paraId="2539D50F" w14:textId="21539B8C" w:rsidR="00167D29" w:rsidRPr="00167D29" w:rsidRDefault="00167D29" w:rsidP="004125BA">
      <w:pPr>
        <w:pStyle w:val="ListParagraph"/>
        <w:numPr>
          <w:ilvl w:val="1"/>
          <w:numId w:val="6"/>
        </w:numPr>
        <w:ind w:left="1440"/>
        <w:jc w:val="both"/>
      </w:pPr>
      <w:r>
        <w:rPr>
          <w:i/>
          <w:iCs/>
        </w:rPr>
        <w:t xml:space="preserve">On Cash in Bank, Local </w:t>
      </w:r>
      <w:r w:rsidRPr="004838E2">
        <w:rPr>
          <w:i/>
          <w:iCs/>
        </w:rPr>
        <w:t>Currency Current Account</w:t>
      </w:r>
      <w:r w:rsidR="00BF4251" w:rsidRPr="004838E2">
        <w:rPr>
          <w:i/>
          <w:iCs/>
        </w:rPr>
        <w:t xml:space="preserve"> </w:t>
      </w:r>
      <w:r w:rsidRPr="004838E2">
        <w:rPr>
          <w:i/>
          <w:iCs/>
        </w:rPr>
        <w:t>(LCCA</w:t>
      </w:r>
      <w:r>
        <w:rPr>
          <w:i/>
          <w:iCs/>
        </w:rPr>
        <w:t>)</w:t>
      </w:r>
    </w:p>
    <w:p w14:paraId="01C53B52" w14:textId="06816959" w:rsidR="004643F0" w:rsidRPr="004643F0" w:rsidRDefault="004643F0" w:rsidP="008779AA">
      <w:pPr>
        <w:ind w:firstLine="720"/>
        <w:jc w:val="both"/>
        <w:rPr>
          <w:rFonts w:ascii="Times New Roman" w:hAnsi="Times New Roman"/>
          <w:bCs/>
          <w:iCs/>
          <w:sz w:val="24"/>
          <w:szCs w:val="24"/>
        </w:rPr>
      </w:pPr>
    </w:p>
    <w:p w14:paraId="7EFB7074" w14:textId="28F597C4" w:rsidR="00F40E12" w:rsidRPr="00F40E12" w:rsidRDefault="00F40E12" w:rsidP="004125BA">
      <w:pPr>
        <w:pStyle w:val="ListParagraph"/>
        <w:numPr>
          <w:ilvl w:val="0"/>
          <w:numId w:val="10"/>
        </w:numPr>
        <w:overflowPunct w:val="0"/>
        <w:autoSpaceDE w:val="0"/>
        <w:autoSpaceDN w:val="0"/>
        <w:adjustRightInd w:val="0"/>
        <w:jc w:val="both"/>
        <w:textAlignment w:val="baseline"/>
        <w:rPr>
          <w:bCs/>
        </w:rPr>
      </w:pPr>
      <w:r w:rsidRPr="00F40E12">
        <w:rPr>
          <w:bCs/>
        </w:rPr>
        <w:t>instruct the Accountant to (1) adopt the Adjusted Balance Method in the preparation of the monthly BRS to properly identify the source and nature of errors; and (2) draw the appropriate journal entry to take up all the identified reconciling items that require adjustment in the books of the College.</w:t>
      </w:r>
    </w:p>
    <w:p w14:paraId="4B7B4F30" w14:textId="70C35B4C" w:rsidR="009F2720" w:rsidRPr="00F40E12" w:rsidRDefault="009F2720" w:rsidP="009F2720">
      <w:pPr>
        <w:tabs>
          <w:tab w:val="left" w:pos="0"/>
          <w:tab w:val="left" w:pos="180"/>
          <w:tab w:val="left" w:pos="810"/>
        </w:tabs>
        <w:jc w:val="both"/>
        <w:rPr>
          <w:bCs/>
        </w:rPr>
      </w:pPr>
    </w:p>
    <w:p w14:paraId="5D52CCC5" w14:textId="27C0B4A7" w:rsidR="004643F0" w:rsidRDefault="00F40E12" w:rsidP="004125BA">
      <w:pPr>
        <w:pStyle w:val="ListParagraph"/>
        <w:numPr>
          <w:ilvl w:val="1"/>
          <w:numId w:val="7"/>
        </w:numPr>
        <w:ind w:left="1418"/>
        <w:jc w:val="both"/>
        <w:rPr>
          <w:bCs/>
          <w:i/>
          <w:iCs/>
        </w:rPr>
      </w:pPr>
      <w:r>
        <w:rPr>
          <w:bCs/>
          <w:i/>
          <w:iCs/>
        </w:rPr>
        <w:t xml:space="preserve"> On Biological Assets</w:t>
      </w:r>
      <w:r w:rsidR="009F2720" w:rsidRPr="00141E89">
        <w:rPr>
          <w:bCs/>
          <w:i/>
          <w:iCs/>
        </w:rPr>
        <w:t xml:space="preserve"> accounts</w:t>
      </w:r>
    </w:p>
    <w:p w14:paraId="26DF30BA" w14:textId="5B5D230A" w:rsidR="00F40E12" w:rsidRDefault="00F40E12" w:rsidP="00F40E12">
      <w:pPr>
        <w:pStyle w:val="ListParagraph"/>
        <w:ind w:left="1418"/>
        <w:jc w:val="both"/>
        <w:rPr>
          <w:bCs/>
          <w:i/>
          <w:iCs/>
        </w:rPr>
      </w:pPr>
    </w:p>
    <w:p w14:paraId="6A7A0088" w14:textId="77777777" w:rsidR="00F40E12" w:rsidRPr="00F40E12" w:rsidRDefault="00F40E12" w:rsidP="004125BA">
      <w:pPr>
        <w:pStyle w:val="ListParagraph"/>
        <w:numPr>
          <w:ilvl w:val="0"/>
          <w:numId w:val="10"/>
        </w:numPr>
        <w:overflowPunct w:val="0"/>
        <w:autoSpaceDE w:val="0"/>
        <w:autoSpaceDN w:val="0"/>
        <w:adjustRightInd w:val="0"/>
        <w:jc w:val="both"/>
        <w:textAlignment w:val="baseline"/>
        <w:rPr>
          <w:bCs/>
        </w:rPr>
      </w:pPr>
      <w:r w:rsidRPr="00F40E12">
        <w:rPr>
          <w:bCs/>
        </w:rPr>
        <w:t xml:space="preserve">Officer-in-Charge/Caretakers for each type of biological assets to (i) prepare/maintain and update regularly the Biological Assets Property Card (BAPC); and (ii) regularly submit the QRBA to the Accounting Office in accordance with the GAM for NGAs, Volume III; and </w:t>
      </w:r>
    </w:p>
    <w:p w14:paraId="65736461" w14:textId="77777777" w:rsidR="00F40E12" w:rsidRDefault="00F40E12" w:rsidP="00F40E12">
      <w:pPr>
        <w:pStyle w:val="ListParagraph"/>
        <w:overflowPunct w:val="0"/>
        <w:autoSpaceDE w:val="0"/>
        <w:autoSpaceDN w:val="0"/>
        <w:adjustRightInd w:val="0"/>
        <w:ind w:left="1080"/>
        <w:jc w:val="both"/>
        <w:textAlignment w:val="baseline"/>
        <w:rPr>
          <w:b/>
          <w:bCs/>
        </w:rPr>
      </w:pPr>
    </w:p>
    <w:p w14:paraId="16DECA90" w14:textId="77777777" w:rsidR="00F40E12" w:rsidRPr="00F40E12" w:rsidRDefault="00F40E12" w:rsidP="004125BA">
      <w:pPr>
        <w:pStyle w:val="ListParagraph"/>
        <w:numPr>
          <w:ilvl w:val="0"/>
          <w:numId w:val="10"/>
        </w:numPr>
        <w:overflowPunct w:val="0"/>
        <w:autoSpaceDE w:val="0"/>
        <w:autoSpaceDN w:val="0"/>
        <w:adjustRightInd w:val="0"/>
        <w:jc w:val="both"/>
        <w:textAlignment w:val="baseline"/>
        <w:rPr>
          <w:bCs/>
        </w:rPr>
      </w:pPr>
      <w:r w:rsidRPr="00F40E12">
        <w:rPr>
          <w:bCs/>
        </w:rPr>
        <w:t xml:space="preserve">Accountant to (i) record the Livestock inventories from the Palayamanan showcase amounting to ₱62,160.00; and (ii) update from time to time the movement of Biological Assets account, specifically the Breeding Stocks and Livestock accounts upon receipt of QRBA from the Officer-in-Charge/Caretakers.  </w:t>
      </w:r>
    </w:p>
    <w:p w14:paraId="1F161DD0" w14:textId="5068929C" w:rsidR="00F40E12" w:rsidRDefault="00F40E12" w:rsidP="00F40E12">
      <w:pPr>
        <w:pStyle w:val="ListParagraph"/>
        <w:ind w:left="1418"/>
        <w:jc w:val="both"/>
        <w:rPr>
          <w:bCs/>
          <w:i/>
          <w:iCs/>
        </w:rPr>
      </w:pPr>
    </w:p>
    <w:p w14:paraId="77F30FC7" w14:textId="066843D5" w:rsidR="004838E2" w:rsidRDefault="004838E2" w:rsidP="004125BA">
      <w:pPr>
        <w:pStyle w:val="ListParagraph"/>
        <w:numPr>
          <w:ilvl w:val="1"/>
          <w:numId w:val="7"/>
        </w:numPr>
        <w:ind w:left="1418"/>
        <w:jc w:val="both"/>
        <w:rPr>
          <w:bCs/>
          <w:i/>
          <w:iCs/>
        </w:rPr>
      </w:pPr>
      <w:r>
        <w:rPr>
          <w:bCs/>
          <w:i/>
          <w:iCs/>
        </w:rPr>
        <w:t>On Inventories</w:t>
      </w:r>
      <w:r w:rsidRPr="00141E89">
        <w:rPr>
          <w:bCs/>
          <w:i/>
          <w:iCs/>
        </w:rPr>
        <w:t xml:space="preserve"> accounts</w:t>
      </w:r>
    </w:p>
    <w:p w14:paraId="2BA9B16C" w14:textId="28084D62" w:rsidR="009F2720" w:rsidRDefault="009F2720" w:rsidP="009F2720">
      <w:pPr>
        <w:pStyle w:val="ListParagraph"/>
        <w:ind w:left="1350"/>
        <w:jc w:val="both"/>
        <w:rPr>
          <w:bCs/>
        </w:rPr>
      </w:pPr>
    </w:p>
    <w:p w14:paraId="1856A281"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Direct the Accounting and Supply Units to facilitate the reconciliation of their records and adjust the books of accounts and property records, as warranted, once the results of inventory have been established;</w:t>
      </w:r>
    </w:p>
    <w:p w14:paraId="4EA4E03E" w14:textId="77777777" w:rsidR="004838E2" w:rsidRPr="002F1731" w:rsidRDefault="004838E2" w:rsidP="004838E2">
      <w:pPr>
        <w:pStyle w:val="ListParagraph"/>
        <w:ind w:left="816"/>
        <w:jc w:val="both"/>
        <w:rPr>
          <w:b/>
          <w:bCs/>
        </w:rPr>
      </w:pPr>
    </w:p>
    <w:p w14:paraId="263B78E6"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 xml:space="preserve">Require the Committee on Inventory to conduct a complete physical count of inventories owned by the College; and </w:t>
      </w:r>
    </w:p>
    <w:p w14:paraId="5299E93E" w14:textId="77777777" w:rsidR="004838E2" w:rsidRDefault="004838E2" w:rsidP="004838E2">
      <w:pPr>
        <w:ind w:left="851" w:hanging="425"/>
        <w:jc w:val="both"/>
        <w:rPr>
          <w:b/>
          <w:bCs/>
        </w:rPr>
      </w:pPr>
    </w:p>
    <w:p w14:paraId="7595D99E"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Instruct the Accountant to prepare SLCs for each kind of supplies and materials as required under Section 17, Chapter 8 of GAM for NGAs, Volume I.</w:t>
      </w:r>
    </w:p>
    <w:p w14:paraId="6FE8BCB2" w14:textId="72C86F48" w:rsidR="004838E2" w:rsidRDefault="004838E2" w:rsidP="004838E2">
      <w:pPr>
        <w:pStyle w:val="ListParagraph"/>
        <w:overflowPunct w:val="0"/>
        <w:autoSpaceDE w:val="0"/>
        <w:autoSpaceDN w:val="0"/>
        <w:adjustRightInd w:val="0"/>
        <w:ind w:left="1080"/>
        <w:jc w:val="both"/>
        <w:textAlignment w:val="baseline"/>
        <w:rPr>
          <w:bCs/>
        </w:rPr>
      </w:pPr>
    </w:p>
    <w:p w14:paraId="3BD9853D" w14:textId="4080E4F4" w:rsidR="004838E2" w:rsidRDefault="004838E2" w:rsidP="004125BA">
      <w:pPr>
        <w:pStyle w:val="ListParagraph"/>
        <w:numPr>
          <w:ilvl w:val="1"/>
          <w:numId w:val="7"/>
        </w:numPr>
        <w:ind w:left="1418"/>
        <w:jc w:val="both"/>
        <w:rPr>
          <w:bCs/>
          <w:i/>
          <w:iCs/>
        </w:rPr>
      </w:pPr>
      <w:r>
        <w:rPr>
          <w:bCs/>
          <w:i/>
          <w:iCs/>
        </w:rPr>
        <w:t>On Property, Plant and Equipment</w:t>
      </w:r>
      <w:r w:rsidRPr="00141E89">
        <w:rPr>
          <w:bCs/>
          <w:i/>
          <w:iCs/>
        </w:rPr>
        <w:t xml:space="preserve"> accounts</w:t>
      </w:r>
    </w:p>
    <w:p w14:paraId="6F71A5CA" w14:textId="77777777" w:rsidR="004643F0" w:rsidRPr="004643F0" w:rsidRDefault="004643F0" w:rsidP="004643F0">
      <w:pPr>
        <w:pStyle w:val="ListParagraph"/>
        <w:ind w:left="709"/>
        <w:jc w:val="both"/>
        <w:rPr>
          <w:bCs/>
        </w:rPr>
      </w:pPr>
    </w:p>
    <w:p w14:paraId="11917BEA" w14:textId="4C59E038"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lastRenderedPageBreak/>
        <w:t xml:space="preserve">instruct the Accountant and the Supply Unit to reclassify PPEs recorded below the capitalization threshold of ₱15,000.00 as semi-expendable properties to reflect the correct balances of </w:t>
      </w:r>
      <w:r w:rsidR="00AF4568">
        <w:rPr>
          <w:bCs/>
        </w:rPr>
        <w:t xml:space="preserve">the </w:t>
      </w:r>
      <w:r w:rsidRPr="004838E2">
        <w:rPr>
          <w:bCs/>
        </w:rPr>
        <w:t xml:space="preserve">PPE accounts; </w:t>
      </w:r>
    </w:p>
    <w:p w14:paraId="154B75A9" w14:textId="77777777" w:rsidR="004838E2" w:rsidRPr="000D33F1" w:rsidRDefault="004838E2" w:rsidP="004838E2">
      <w:pPr>
        <w:pStyle w:val="NoSpacing"/>
        <w:rPr>
          <w:rFonts w:ascii="Times New Roman" w:hAnsi="Times New Roman"/>
          <w:b/>
          <w:bCs/>
          <w:sz w:val="24"/>
          <w:szCs w:val="24"/>
        </w:rPr>
      </w:pPr>
    </w:p>
    <w:p w14:paraId="0AED89F9"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determine the fair market value of the unrecorded parcels of land and thereafter recognize these tracts of land in the books of accounts;</w:t>
      </w:r>
    </w:p>
    <w:p w14:paraId="55D2C410" w14:textId="77777777" w:rsidR="004838E2" w:rsidRPr="000D33F1" w:rsidRDefault="004838E2" w:rsidP="004838E2">
      <w:pPr>
        <w:pStyle w:val="NoSpacing"/>
        <w:rPr>
          <w:rFonts w:ascii="Times New Roman" w:hAnsi="Times New Roman"/>
          <w:b/>
          <w:bCs/>
          <w:sz w:val="24"/>
          <w:szCs w:val="24"/>
        </w:rPr>
      </w:pPr>
    </w:p>
    <w:p w14:paraId="11B872E8"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require the Accountant to derecognize the unserviceable PPEs as prescribed under Section 40, Chapter 10 of the GAM for NGAs, Volume I, and immediately dispose the unserviceable properties to prevent further deterioration and/or reduction in value;</w:t>
      </w:r>
    </w:p>
    <w:p w14:paraId="6C1CE0A1" w14:textId="77777777" w:rsidR="004838E2" w:rsidRPr="004838E2" w:rsidRDefault="004838E2" w:rsidP="004838E2">
      <w:pPr>
        <w:pStyle w:val="ListParagraph"/>
        <w:overflowPunct w:val="0"/>
        <w:autoSpaceDE w:val="0"/>
        <w:autoSpaceDN w:val="0"/>
        <w:adjustRightInd w:val="0"/>
        <w:ind w:left="1080"/>
        <w:jc w:val="both"/>
        <w:textAlignment w:val="baseline"/>
        <w:rPr>
          <w:bCs/>
        </w:rPr>
      </w:pPr>
    </w:p>
    <w:p w14:paraId="2AE28317"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strictly follow the instructions of the GAM in accomplishing the PPELC to ensure that the balances of the PPE presented in the reports submitted by the Accountant are correct; and</w:t>
      </w:r>
    </w:p>
    <w:p w14:paraId="4ECBD3E9" w14:textId="77777777" w:rsidR="004838E2" w:rsidRPr="00DC09C6" w:rsidRDefault="004838E2" w:rsidP="004838E2">
      <w:pPr>
        <w:jc w:val="both"/>
        <w:rPr>
          <w:b/>
          <w:bCs/>
        </w:rPr>
      </w:pPr>
    </w:p>
    <w:p w14:paraId="7C8D6137" w14:textId="77777777" w:rsidR="004838E2" w:rsidRPr="004838E2" w:rsidRDefault="004838E2" w:rsidP="004125BA">
      <w:pPr>
        <w:pStyle w:val="ListParagraph"/>
        <w:numPr>
          <w:ilvl w:val="0"/>
          <w:numId w:val="10"/>
        </w:numPr>
        <w:overflowPunct w:val="0"/>
        <w:autoSpaceDE w:val="0"/>
        <w:autoSpaceDN w:val="0"/>
        <w:adjustRightInd w:val="0"/>
        <w:jc w:val="both"/>
        <w:textAlignment w:val="baseline"/>
        <w:rPr>
          <w:bCs/>
        </w:rPr>
      </w:pPr>
      <w:r w:rsidRPr="004838E2">
        <w:rPr>
          <w:bCs/>
        </w:rPr>
        <w:t>undertake proper planning to facilitate the completion of the physical count of all PPEs owned by the College.</w:t>
      </w:r>
    </w:p>
    <w:p w14:paraId="56D7776F" w14:textId="77777777" w:rsidR="004838E2" w:rsidRPr="00B80EBF" w:rsidRDefault="004838E2" w:rsidP="004838E2">
      <w:pPr>
        <w:pStyle w:val="NoSpacing"/>
        <w:rPr>
          <w:rFonts w:ascii="Times New Roman" w:hAnsi="Times New Roman"/>
          <w:sz w:val="24"/>
          <w:szCs w:val="24"/>
        </w:rPr>
      </w:pPr>
    </w:p>
    <w:p w14:paraId="306D2BBA" w14:textId="77777777" w:rsidR="008779AA" w:rsidRPr="006A0238" w:rsidRDefault="008779AA" w:rsidP="00CE630C">
      <w:pPr>
        <w:jc w:val="both"/>
        <w:rPr>
          <w:rFonts w:ascii="Times New Roman" w:hAnsi="Times New Roman"/>
          <w:sz w:val="24"/>
          <w:szCs w:val="24"/>
        </w:rPr>
      </w:pPr>
    </w:p>
    <w:p w14:paraId="67334E5E" w14:textId="77777777" w:rsidR="001D409D" w:rsidRPr="006A0238" w:rsidRDefault="0038579F" w:rsidP="00C24135">
      <w:pPr>
        <w:pStyle w:val="Heading1"/>
        <w:numPr>
          <w:ilvl w:val="0"/>
          <w:numId w:val="2"/>
        </w:numPr>
        <w:rPr>
          <w:b w:val="0"/>
          <w:i/>
        </w:rPr>
      </w:pPr>
      <w:r w:rsidRPr="006A0238">
        <w:rPr>
          <w:i/>
        </w:rPr>
        <w:t xml:space="preserve">Summary of Other Significant </w:t>
      </w:r>
      <w:r w:rsidR="00701B86" w:rsidRPr="006A0238">
        <w:rPr>
          <w:i/>
        </w:rPr>
        <w:t xml:space="preserve">Audit </w:t>
      </w:r>
      <w:r w:rsidRPr="006A0238">
        <w:rPr>
          <w:i/>
        </w:rPr>
        <w:t>Observations and Recommendations</w:t>
      </w:r>
    </w:p>
    <w:p w14:paraId="36525726" w14:textId="77777777" w:rsidR="00C24135" w:rsidRPr="006A0238" w:rsidRDefault="00C24135" w:rsidP="00C24135">
      <w:pPr>
        <w:contextualSpacing/>
        <w:jc w:val="both"/>
        <w:rPr>
          <w:rFonts w:ascii="Times New Roman" w:hAnsi="Times New Roman"/>
          <w:b/>
          <w:i/>
          <w:sz w:val="24"/>
          <w:szCs w:val="24"/>
        </w:rPr>
      </w:pPr>
    </w:p>
    <w:p w14:paraId="0FE60EF8" w14:textId="6EDDF6EA" w:rsidR="0038579F" w:rsidRPr="00E433D4" w:rsidRDefault="0038579F" w:rsidP="00C24135">
      <w:pPr>
        <w:ind w:firstLine="720"/>
        <w:contextualSpacing/>
        <w:jc w:val="both"/>
        <w:rPr>
          <w:rFonts w:ascii="Times New Roman" w:hAnsi="Times New Roman"/>
          <w:sz w:val="24"/>
          <w:szCs w:val="24"/>
        </w:rPr>
      </w:pPr>
      <w:r w:rsidRPr="00E433D4">
        <w:rPr>
          <w:rFonts w:ascii="Times New Roman" w:hAnsi="Times New Roman"/>
          <w:sz w:val="24"/>
          <w:szCs w:val="24"/>
        </w:rPr>
        <w:t xml:space="preserve">Summarized below are the significant audit observations with their recommendations, the details of </w:t>
      </w:r>
      <w:r w:rsidR="00B21330">
        <w:rPr>
          <w:rFonts w:ascii="Times New Roman" w:hAnsi="Times New Roman"/>
          <w:sz w:val="24"/>
          <w:szCs w:val="24"/>
        </w:rPr>
        <w:t>which</w:t>
      </w:r>
      <w:r w:rsidR="00BB65DA" w:rsidRPr="00E433D4">
        <w:rPr>
          <w:rFonts w:ascii="Times New Roman" w:hAnsi="Times New Roman"/>
          <w:sz w:val="24"/>
          <w:szCs w:val="24"/>
        </w:rPr>
        <w:t xml:space="preserve"> are </w:t>
      </w:r>
      <w:r w:rsidRPr="00E433D4">
        <w:rPr>
          <w:rFonts w:ascii="Times New Roman" w:hAnsi="Times New Roman"/>
          <w:sz w:val="24"/>
          <w:szCs w:val="24"/>
        </w:rPr>
        <w:t>pres</w:t>
      </w:r>
      <w:r w:rsidR="001E528C" w:rsidRPr="00E433D4">
        <w:rPr>
          <w:rFonts w:ascii="Times New Roman" w:hAnsi="Times New Roman"/>
          <w:sz w:val="24"/>
          <w:szCs w:val="24"/>
        </w:rPr>
        <w:t xml:space="preserve">ented in Part II of this report.  </w:t>
      </w:r>
    </w:p>
    <w:p w14:paraId="07D9027C" w14:textId="77777777" w:rsidR="00A01785" w:rsidRPr="00E433D4" w:rsidRDefault="00A01785" w:rsidP="00A01785">
      <w:pPr>
        <w:ind w:firstLine="720"/>
        <w:jc w:val="both"/>
        <w:rPr>
          <w:rFonts w:ascii="Times New Roman" w:hAnsi="Times New Roman"/>
          <w:sz w:val="24"/>
          <w:szCs w:val="24"/>
        </w:rPr>
      </w:pPr>
    </w:p>
    <w:p w14:paraId="739A9767" w14:textId="515EE40D" w:rsidR="00323E1A" w:rsidRPr="003F6AE3" w:rsidRDefault="004838E2" w:rsidP="00F5051A">
      <w:pPr>
        <w:pStyle w:val="ListParagraph"/>
        <w:numPr>
          <w:ilvl w:val="0"/>
          <w:numId w:val="8"/>
        </w:numPr>
        <w:ind w:left="0" w:firstLine="0"/>
        <w:jc w:val="both"/>
        <w:rPr>
          <w:sz w:val="20"/>
          <w:szCs w:val="20"/>
        </w:rPr>
      </w:pPr>
      <w:bookmarkStart w:id="1" w:name="_Hlk41377031"/>
      <w:r w:rsidRPr="003F6AE3">
        <w:rPr>
          <w:bCs/>
          <w:color w:val="000000" w:themeColor="text1"/>
        </w:rPr>
        <w:t xml:space="preserve">Recorded Receivables with a carrying value of </w:t>
      </w:r>
      <w:bookmarkStart w:id="2" w:name="_Hlk71229462"/>
      <w:r w:rsidRPr="003F6AE3">
        <w:rPr>
          <w:bCs/>
        </w:rPr>
        <w:t>₱</w:t>
      </w:r>
      <w:r w:rsidRPr="003F6AE3">
        <w:rPr>
          <w:bCs/>
          <w:color w:val="000000" w:themeColor="text1"/>
        </w:rPr>
        <w:t xml:space="preserve">5,193,035.16 </w:t>
      </w:r>
      <w:bookmarkEnd w:id="2"/>
      <w:r w:rsidRPr="003F6AE3">
        <w:rPr>
          <w:bCs/>
          <w:color w:val="000000" w:themeColor="text1"/>
        </w:rPr>
        <w:t xml:space="preserve">as at year-end included long outstanding accounts from students’ unpaid loans and tuition fees totaling to </w:t>
      </w:r>
      <w:r w:rsidRPr="003F6AE3">
        <w:rPr>
          <w:bCs/>
        </w:rPr>
        <w:t xml:space="preserve">₱4,933,035.16 </w:t>
      </w:r>
      <w:r w:rsidRPr="003F6AE3">
        <w:rPr>
          <w:bCs/>
          <w:color w:val="000000" w:themeColor="text1"/>
        </w:rPr>
        <w:t xml:space="preserve">due to the failure of Management to institute effective measures of collection.  </w:t>
      </w:r>
      <w:r w:rsidR="00696C26" w:rsidRPr="003F6AE3">
        <w:rPr>
          <w:b/>
          <w:bCs/>
        </w:rPr>
        <w:t>(</w:t>
      </w:r>
      <w:r w:rsidR="00696C26" w:rsidRPr="003F6AE3">
        <w:rPr>
          <w:b/>
          <w:bCs/>
          <w:i/>
          <w:iCs/>
        </w:rPr>
        <w:t xml:space="preserve">Observation No. </w:t>
      </w:r>
      <w:r w:rsidR="00AF7FAF" w:rsidRPr="003F6AE3">
        <w:rPr>
          <w:b/>
          <w:bCs/>
          <w:i/>
          <w:iCs/>
        </w:rPr>
        <w:t>2</w:t>
      </w:r>
      <w:r w:rsidR="00696C26" w:rsidRPr="003F6AE3">
        <w:rPr>
          <w:i/>
          <w:iCs/>
        </w:rPr>
        <w:t>)</w:t>
      </w:r>
    </w:p>
    <w:p w14:paraId="2FD0159C" w14:textId="77777777" w:rsidR="00836772" w:rsidRDefault="00836772" w:rsidP="00836772">
      <w:pPr>
        <w:pStyle w:val="ListParagraph"/>
        <w:overflowPunct w:val="0"/>
        <w:autoSpaceDE w:val="0"/>
        <w:autoSpaceDN w:val="0"/>
        <w:adjustRightInd w:val="0"/>
        <w:ind w:left="0"/>
        <w:jc w:val="both"/>
        <w:textAlignment w:val="baseline"/>
        <w:rPr>
          <w:b/>
          <w:bCs/>
        </w:rPr>
      </w:pPr>
    </w:p>
    <w:p w14:paraId="726295FF" w14:textId="5CD9C495" w:rsidR="00836772" w:rsidRPr="00836772" w:rsidRDefault="00836772" w:rsidP="00836772">
      <w:pPr>
        <w:pStyle w:val="ListParagraph"/>
        <w:overflowPunct w:val="0"/>
        <w:autoSpaceDE w:val="0"/>
        <w:autoSpaceDN w:val="0"/>
        <w:adjustRightInd w:val="0"/>
        <w:ind w:left="0"/>
        <w:jc w:val="both"/>
        <w:textAlignment w:val="baseline"/>
      </w:pPr>
      <w:r w:rsidRPr="00836772">
        <w:t>We reiterated the previous year’s recommendations and the College President agreed to exert more diligent effort in collecting receivables and loans from defaulting students, farmers as well as from their co-makers without prejudice to imposing sanctions against them.</w:t>
      </w:r>
    </w:p>
    <w:p w14:paraId="6A8F9933" w14:textId="4B215990" w:rsidR="00696C26" w:rsidRPr="004656F3" w:rsidRDefault="00696C26" w:rsidP="00836772">
      <w:pPr>
        <w:jc w:val="both"/>
        <w:rPr>
          <w:color w:val="FF0000"/>
        </w:rPr>
      </w:pPr>
    </w:p>
    <w:p w14:paraId="3A2FC5CA" w14:textId="13D5541F" w:rsidR="00BB65DA" w:rsidRPr="003F6AE3" w:rsidRDefault="00836772" w:rsidP="004125BA">
      <w:pPr>
        <w:pStyle w:val="ListParagraph"/>
        <w:numPr>
          <w:ilvl w:val="0"/>
          <w:numId w:val="8"/>
        </w:numPr>
        <w:ind w:left="0" w:firstLine="0"/>
        <w:jc w:val="both"/>
        <w:rPr>
          <w:b/>
          <w:bCs/>
        </w:rPr>
      </w:pPr>
      <w:r w:rsidRPr="003F6AE3">
        <w:t xml:space="preserve">The correctness of the reported balance of Other Payables account amounting to ₱6,633,148.92 as of December 31, 2020 cannot be fully verified in the absence of complete schedule/subsidiary ledgers comprising the account as prescribed by Section 111 of Presidential Decree (P.D.) No. 1445. Also, the year-end balance of the account included inappropriate credits of  ₱1,831,953.99 due to (a) misclassification of various receipts amounting to  ₱1,694,755.64 from selling activities of the different  projects of the College, such as table egg and swine production, plant nursery and other  projects; (b) misclassification of the reservation/rent deposit amounting to ₱95,597.27 and  bidders’ bonds of ₱41,601.08 contrary to the account definitions stated in the Revised Chart of Accounts and provisions of Chapter 2 of the Government Accounting Manual (GAM) for National Government Agencies, Volume I. </w:t>
      </w:r>
      <w:r w:rsidR="00BB65DA" w:rsidRPr="003F6AE3">
        <w:t xml:space="preserve"> </w:t>
      </w:r>
      <w:r w:rsidR="00BB65DA" w:rsidRPr="003F6AE3">
        <w:rPr>
          <w:b/>
          <w:bCs/>
        </w:rPr>
        <w:t>(</w:t>
      </w:r>
      <w:r w:rsidR="00BB65DA" w:rsidRPr="003F6AE3">
        <w:rPr>
          <w:b/>
          <w:bCs/>
          <w:i/>
          <w:iCs/>
        </w:rPr>
        <w:t>Observation 6)</w:t>
      </w:r>
    </w:p>
    <w:p w14:paraId="7C5FD500" w14:textId="31AAAE73" w:rsidR="004656F3" w:rsidRDefault="004656F3" w:rsidP="004656F3">
      <w:pPr>
        <w:tabs>
          <w:tab w:val="left" w:pos="0"/>
        </w:tabs>
        <w:jc w:val="both"/>
        <w:rPr>
          <w:rFonts w:ascii="Times New Roman" w:hAnsi="Times New Roman"/>
          <w:b/>
          <w:bCs/>
        </w:rPr>
      </w:pPr>
    </w:p>
    <w:p w14:paraId="065605D9" w14:textId="6143A8EA" w:rsidR="00836772" w:rsidRPr="00836772" w:rsidRDefault="00836772" w:rsidP="00836772">
      <w:pPr>
        <w:pStyle w:val="ListParagraph"/>
        <w:overflowPunct w:val="0"/>
        <w:autoSpaceDE w:val="0"/>
        <w:autoSpaceDN w:val="0"/>
        <w:adjustRightInd w:val="0"/>
        <w:ind w:left="0"/>
        <w:jc w:val="both"/>
        <w:textAlignment w:val="baseline"/>
        <w:rPr>
          <w:bCs/>
          <w:color w:val="000000" w:themeColor="text1"/>
        </w:rPr>
      </w:pPr>
      <w:r w:rsidRPr="00836772">
        <w:rPr>
          <w:bCs/>
        </w:rPr>
        <w:lastRenderedPageBreak/>
        <w:t xml:space="preserve">We recommended and the College President agreed to require the Accountant to (a) </w:t>
      </w:r>
      <w:r w:rsidRPr="00836772">
        <w:rPr>
          <w:bCs/>
          <w:lang w:val="en-PH"/>
        </w:rPr>
        <w:t>c</w:t>
      </w:r>
      <w:r w:rsidRPr="00836772">
        <w:rPr>
          <w:bCs/>
          <w:lang w:val="id-ID"/>
        </w:rPr>
        <w:t>onduct</w:t>
      </w:r>
      <w:r w:rsidRPr="00836772">
        <w:rPr>
          <w:bCs/>
        </w:rPr>
        <w:t xml:space="preserve"> a review and analysis of all items included in the Other Payables account and thereafter prepare and maintain subsidiary ledgers comprising the account; and (b) draw adjusting entries to reclassify all misclassified transactions to the appropriate accounts</w:t>
      </w:r>
      <w:r>
        <w:rPr>
          <w:bCs/>
        </w:rPr>
        <w:t xml:space="preserve">. </w:t>
      </w:r>
    </w:p>
    <w:p w14:paraId="6D9A71DD" w14:textId="77777777" w:rsidR="00C3626B" w:rsidRDefault="00C3626B" w:rsidP="00C3626B">
      <w:pPr>
        <w:pStyle w:val="ListParagraph"/>
        <w:ind w:left="0"/>
        <w:jc w:val="both"/>
        <w:rPr>
          <w:b/>
          <w:bCs/>
          <w:i/>
          <w:iCs/>
          <w:highlight w:val="yellow"/>
        </w:rPr>
      </w:pPr>
    </w:p>
    <w:p w14:paraId="2757D4AB" w14:textId="0BCE2963" w:rsidR="00B33267" w:rsidRPr="00526B4C" w:rsidRDefault="00C3626B" w:rsidP="00C3626B">
      <w:pPr>
        <w:pStyle w:val="ListParagraph"/>
        <w:ind w:left="0"/>
        <w:jc w:val="both"/>
        <w:rPr>
          <w:b/>
          <w:bCs/>
          <w:i/>
          <w:iCs/>
        </w:rPr>
      </w:pPr>
      <w:r w:rsidRPr="00D970F4">
        <w:t xml:space="preserve">3. </w:t>
      </w:r>
      <w:r w:rsidRPr="00D970F4">
        <w:tab/>
      </w:r>
      <w:bookmarkStart w:id="3" w:name="_Hlk73827955"/>
      <w:r w:rsidRPr="00D970F4">
        <w:t xml:space="preserve">A total of 52 units of computer equipment amounting to ₱2,204,300.80 remained idle since October 2020 and unutilized as of year-end, thus, exposing them to deterioration and depreciation contrary to COA Circular No. 2012-003 dated October 29, 2012, prescribing the prevention of unnecessary expenditures. </w:t>
      </w:r>
      <w:bookmarkEnd w:id="3"/>
      <w:r w:rsidR="00B33267" w:rsidRPr="00D970F4">
        <w:t>(</w:t>
      </w:r>
      <w:r w:rsidR="00B33267" w:rsidRPr="00D970F4">
        <w:rPr>
          <w:b/>
          <w:bCs/>
          <w:i/>
          <w:iCs/>
        </w:rPr>
        <w:t>Observation No. 8)</w:t>
      </w:r>
    </w:p>
    <w:p w14:paraId="6F867E2F" w14:textId="77777777" w:rsidR="00B33267" w:rsidRPr="00526B4C" w:rsidRDefault="00B33267" w:rsidP="00B33267">
      <w:pPr>
        <w:jc w:val="both"/>
        <w:rPr>
          <w:rFonts w:ascii="Times New Roman" w:hAnsi="Times New Roman"/>
          <w:b/>
          <w:bCs/>
          <w:sz w:val="24"/>
          <w:szCs w:val="24"/>
        </w:rPr>
      </w:pPr>
    </w:p>
    <w:p w14:paraId="60EF4D60" w14:textId="1B8D6D92" w:rsidR="00C3626B" w:rsidRDefault="00C3626B" w:rsidP="00C3626B">
      <w:pPr>
        <w:pStyle w:val="ListParagraph"/>
        <w:overflowPunct w:val="0"/>
        <w:autoSpaceDE w:val="0"/>
        <w:autoSpaceDN w:val="0"/>
        <w:adjustRightInd w:val="0"/>
        <w:ind w:left="0"/>
        <w:jc w:val="both"/>
        <w:textAlignment w:val="baseline"/>
      </w:pPr>
      <w:r w:rsidRPr="00C3626B">
        <w:t>We recommended and the College President agreed to render a written justification for the acquisition of the computer units in CY 2020 when there was no specific need for the equipment yet.</w:t>
      </w:r>
    </w:p>
    <w:p w14:paraId="22C1F174" w14:textId="77777777" w:rsidR="00C3626B" w:rsidRDefault="00C3626B" w:rsidP="00C3626B">
      <w:pPr>
        <w:pStyle w:val="ListParagraph"/>
        <w:ind w:left="0"/>
        <w:jc w:val="both"/>
      </w:pPr>
      <w:bookmarkStart w:id="4" w:name="_Hlk65081133"/>
    </w:p>
    <w:p w14:paraId="133D2659" w14:textId="5D66EA99" w:rsidR="00C3626B" w:rsidRPr="00C3626B" w:rsidRDefault="00C3626B" w:rsidP="00C3626B">
      <w:pPr>
        <w:pStyle w:val="ListParagraph"/>
        <w:ind w:left="0"/>
        <w:jc w:val="both"/>
      </w:pPr>
      <w:r w:rsidRPr="00C3626B">
        <w:t xml:space="preserve">4. </w:t>
      </w:r>
      <w:r w:rsidRPr="00C3626B">
        <w:tab/>
        <w:t xml:space="preserve">The Bulacan Agricultural State College (BASC) failed to deduct the 10% Retention Money equivalent to ₱1,022,286.02 from the progress payments to the contractor for the Construction of Three-Storey Education Building (Phase 2) contrary to pertinent sections of Annex E of the Revised Implementing Rules and Regulations (RIRR) </w:t>
      </w:r>
      <w:r w:rsidR="00C83891" w:rsidRPr="00C3626B">
        <w:t>of Republic</w:t>
      </w:r>
      <w:r w:rsidRPr="00C3626B">
        <w:t xml:space="preserve"> Act (R.A.) No. 9184. </w:t>
      </w:r>
      <w:bookmarkEnd w:id="4"/>
      <w:r w:rsidRPr="00C3626B">
        <w:t>Also, deficiencies were noted in the implementation of the construction project</w:t>
      </w:r>
      <w:r w:rsidR="00C83891">
        <w:t xml:space="preserve">, </w:t>
      </w:r>
      <w:r w:rsidRPr="00C3626B">
        <w:t>inconsistent with the general conditions of the infrastructure contract</w:t>
      </w:r>
      <w:r w:rsidR="00C83891">
        <w:t xml:space="preserve">, </w:t>
      </w:r>
      <w:r w:rsidR="00C83891" w:rsidRPr="00C3626B">
        <w:t>to the disadvantage of the College</w:t>
      </w:r>
      <w:r w:rsidRPr="00C3626B">
        <w:t>.</w:t>
      </w:r>
      <w:r>
        <w:t xml:space="preserve"> </w:t>
      </w:r>
      <w:r w:rsidRPr="00C3626B">
        <w:rPr>
          <w:b/>
          <w:bCs/>
          <w:i/>
          <w:iCs/>
        </w:rPr>
        <w:t>(Observation No. 9</w:t>
      </w:r>
      <w:r>
        <w:t>)</w:t>
      </w:r>
    </w:p>
    <w:p w14:paraId="20D72886" w14:textId="09E40C80" w:rsidR="00C3626B" w:rsidRDefault="00C3626B" w:rsidP="00C3626B">
      <w:pPr>
        <w:pStyle w:val="ListParagraph"/>
        <w:overflowPunct w:val="0"/>
        <w:autoSpaceDE w:val="0"/>
        <w:autoSpaceDN w:val="0"/>
        <w:adjustRightInd w:val="0"/>
        <w:ind w:left="0"/>
        <w:jc w:val="both"/>
        <w:textAlignment w:val="baseline"/>
      </w:pPr>
    </w:p>
    <w:p w14:paraId="41B1793F" w14:textId="299DEFDB" w:rsidR="00F11FB5" w:rsidRPr="00F11FB5" w:rsidRDefault="00C3626B" w:rsidP="00F11FB5">
      <w:pPr>
        <w:ind w:firstLine="11"/>
        <w:jc w:val="both"/>
        <w:rPr>
          <w:rFonts w:ascii="Times New Roman" w:hAnsi="Times New Roman"/>
          <w:sz w:val="24"/>
          <w:szCs w:val="24"/>
        </w:rPr>
      </w:pPr>
      <w:bookmarkStart w:id="5" w:name="_Hlk65081439"/>
      <w:r>
        <w:rPr>
          <w:rFonts w:ascii="Times New Roman" w:hAnsi="Times New Roman"/>
          <w:sz w:val="24"/>
          <w:szCs w:val="24"/>
        </w:rPr>
        <w:t>W</w:t>
      </w:r>
      <w:r w:rsidR="00F11FB5" w:rsidRPr="00F11FB5">
        <w:rPr>
          <w:rFonts w:ascii="Times New Roman" w:hAnsi="Times New Roman"/>
          <w:sz w:val="24"/>
          <w:szCs w:val="24"/>
        </w:rPr>
        <w:t>e recommended that Management undertake the following courses of action:</w:t>
      </w:r>
    </w:p>
    <w:p w14:paraId="50852E6B" w14:textId="77777777" w:rsidR="00F11FB5" w:rsidRPr="00F11FB5" w:rsidRDefault="00F11FB5" w:rsidP="00F11FB5">
      <w:pPr>
        <w:jc w:val="both"/>
      </w:pPr>
    </w:p>
    <w:p w14:paraId="1251D5C3" w14:textId="77777777" w:rsidR="00AB7BBB" w:rsidRPr="00AB7BBB" w:rsidRDefault="00AB7BBB" w:rsidP="004125BA">
      <w:pPr>
        <w:pStyle w:val="ListParagraph"/>
        <w:numPr>
          <w:ilvl w:val="0"/>
          <w:numId w:val="11"/>
        </w:numPr>
        <w:overflowPunct w:val="0"/>
        <w:autoSpaceDE w:val="0"/>
        <w:autoSpaceDN w:val="0"/>
        <w:adjustRightInd w:val="0"/>
        <w:ind w:left="709" w:hanging="425"/>
        <w:jc w:val="both"/>
        <w:textAlignment w:val="baseline"/>
      </w:pPr>
      <w:r w:rsidRPr="00AB7BBB">
        <w:t>ensure that the required 10% retention fee is deducted from the progress payments to be made to the contractor;</w:t>
      </w:r>
    </w:p>
    <w:p w14:paraId="688252A2" w14:textId="77777777" w:rsidR="00AB7BBB" w:rsidRPr="00AB7BBB" w:rsidRDefault="00AB7BBB" w:rsidP="00AB7BBB">
      <w:pPr>
        <w:pStyle w:val="ListParagraph"/>
        <w:overflowPunct w:val="0"/>
        <w:autoSpaceDE w:val="0"/>
        <w:autoSpaceDN w:val="0"/>
        <w:adjustRightInd w:val="0"/>
        <w:ind w:left="1080"/>
        <w:jc w:val="both"/>
        <w:textAlignment w:val="baseline"/>
      </w:pPr>
    </w:p>
    <w:p w14:paraId="6AA904EA" w14:textId="77777777" w:rsidR="00AB7BBB" w:rsidRPr="00AB7BBB" w:rsidRDefault="00AB7BBB" w:rsidP="004125BA">
      <w:pPr>
        <w:pStyle w:val="ListParagraph"/>
        <w:numPr>
          <w:ilvl w:val="0"/>
          <w:numId w:val="11"/>
        </w:numPr>
        <w:overflowPunct w:val="0"/>
        <w:autoSpaceDE w:val="0"/>
        <w:autoSpaceDN w:val="0"/>
        <w:adjustRightInd w:val="0"/>
        <w:ind w:left="709" w:hanging="425"/>
        <w:jc w:val="both"/>
        <w:textAlignment w:val="baseline"/>
      </w:pPr>
      <w:r w:rsidRPr="00AB7BBB">
        <w:t>strictly adhere to the terms and conditions of the contract without prejudice to the provisions of R.A. No. 9184 and its RIRR in the implementation of the infrastructure project; and</w:t>
      </w:r>
    </w:p>
    <w:p w14:paraId="712E6CB5" w14:textId="77777777" w:rsidR="00AB7BBB" w:rsidRPr="00AB7BBB" w:rsidRDefault="00AB7BBB" w:rsidP="00AB7BBB">
      <w:pPr>
        <w:jc w:val="both"/>
      </w:pPr>
    </w:p>
    <w:p w14:paraId="1D0D4495" w14:textId="77777777" w:rsidR="00AB7BBB" w:rsidRPr="00AB7BBB" w:rsidRDefault="00AB7BBB" w:rsidP="004125BA">
      <w:pPr>
        <w:pStyle w:val="ListParagraph"/>
        <w:numPr>
          <w:ilvl w:val="0"/>
          <w:numId w:val="11"/>
        </w:numPr>
        <w:overflowPunct w:val="0"/>
        <w:autoSpaceDE w:val="0"/>
        <w:autoSpaceDN w:val="0"/>
        <w:adjustRightInd w:val="0"/>
        <w:ind w:left="709" w:hanging="425"/>
        <w:jc w:val="both"/>
        <w:textAlignment w:val="baseline"/>
      </w:pPr>
      <w:r w:rsidRPr="00AB7BBB">
        <w:t xml:space="preserve">formulate a standard procedure for determining the utilities consumed for this infrastructure project and appropriately bill the contractor. </w:t>
      </w:r>
    </w:p>
    <w:p w14:paraId="45563225" w14:textId="77777777" w:rsidR="00AB7BBB" w:rsidRPr="00F11FB5" w:rsidRDefault="00AB7BBB" w:rsidP="00AB7BBB">
      <w:pPr>
        <w:pStyle w:val="ListParagraph"/>
        <w:ind w:left="709"/>
        <w:jc w:val="both"/>
      </w:pPr>
    </w:p>
    <w:bookmarkEnd w:id="5"/>
    <w:p w14:paraId="77DB7F65" w14:textId="302CE3C4" w:rsidR="00AB71AC" w:rsidRPr="00EA7761" w:rsidRDefault="00AB7BBB" w:rsidP="00AB7BBB">
      <w:pPr>
        <w:pStyle w:val="ListParagraph"/>
        <w:ind w:left="0"/>
        <w:jc w:val="both"/>
        <w:rPr>
          <w:b/>
          <w:bCs/>
        </w:rPr>
      </w:pPr>
      <w:r>
        <w:t xml:space="preserve">5. </w:t>
      </w:r>
      <w:r>
        <w:tab/>
      </w:r>
      <w:r w:rsidRPr="00AB7BBB">
        <w:t>The Bulacan Agricultural State College (BASC) obtained College Passing Rates (CPRs) higher than the National Passing Rates (NPRs) in the licensure examinations for Agriculture and Professional Teachers, both in Elementary and Secondary Education; nevertheless, the number of unsuccessful examinees significantly outnumbered the passers in the identified programs for the last five years, casting doubt on the capability of the College to produce professionals in the aforementioned fields. In addition, BASC has yet to obtain a Center of Excellence and/or Center of Development status from the Commission on Higher Education (CHED) for any of its programs since the university performance has been inadequate in the areas of instruction, research and publication, extension and linkages and institutional qualifications.</w:t>
      </w:r>
      <w:r>
        <w:t xml:space="preserve"> </w:t>
      </w:r>
      <w:r w:rsidR="00AB71AC" w:rsidRPr="004E1C6F">
        <w:t xml:space="preserve"> </w:t>
      </w:r>
      <w:r w:rsidR="0036285C">
        <w:t xml:space="preserve"> </w:t>
      </w:r>
      <w:r w:rsidR="0036285C" w:rsidRPr="00EA7761">
        <w:rPr>
          <w:b/>
          <w:bCs/>
          <w:i/>
          <w:iCs/>
        </w:rPr>
        <w:t>(Observation 1</w:t>
      </w:r>
      <w:r w:rsidR="00166ED6">
        <w:rPr>
          <w:b/>
          <w:bCs/>
          <w:i/>
          <w:iCs/>
        </w:rPr>
        <w:t>2</w:t>
      </w:r>
      <w:r w:rsidR="0036285C" w:rsidRPr="00EA7761">
        <w:rPr>
          <w:b/>
          <w:bCs/>
          <w:i/>
          <w:iCs/>
        </w:rPr>
        <w:t>)</w:t>
      </w:r>
    </w:p>
    <w:bookmarkEnd w:id="1"/>
    <w:p w14:paraId="2F87AE83" w14:textId="0A6EE32A" w:rsidR="00AB7BBB" w:rsidRDefault="00AB7BBB" w:rsidP="00AB7BBB">
      <w:pPr>
        <w:pStyle w:val="ListParagraph"/>
        <w:overflowPunct w:val="0"/>
        <w:autoSpaceDE w:val="0"/>
        <w:autoSpaceDN w:val="0"/>
        <w:adjustRightInd w:val="0"/>
        <w:ind w:left="0"/>
        <w:jc w:val="both"/>
        <w:textAlignment w:val="baseline"/>
        <w:rPr>
          <w:b/>
          <w:bCs/>
        </w:rPr>
      </w:pPr>
    </w:p>
    <w:p w14:paraId="5B0D7103" w14:textId="77777777" w:rsidR="0081673D" w:rsidRDefault="0081673D" w:rsidP="00AB7BBB">
      <w:pPr>
        <w:pStyle w:val="ListParagraph"/>
        <w:overflowPunct w:val="0"/>
        <w:autoSpaceDE w:val="0"/>
        <w:autoSpaceDN w:val="0"/>
        <w:adjustRightInd w:val="0"/>
        <w:ind w:left="0"/>
        <w:jc w:val="both"/>
        <w:textAlignment w:val="baseline"/>
        <w:rPr>
          <w:b/>
          <w:bCs/>
        </w:rPr>
      </w:pPr>
    </w:p>
    <w:p w14:paraId="0ACAFB45" w14:textId="033E9DBA" w:rsidR="00AB7BBB" w:rsidRPr="00AB7BBB" w:rsidRDefault="00AB7BBB" w:rsidP="00AB7BBB">
      <w:pPr>
        <w:pStyle w:val="ListParagraph"/>
        <w:overflowPunct w:val="0"/>
        <w:autoSpaceDE w:val="0"/>
        <w:autoSpaceDN w:val="0"/>
        <w:adjustRightInd w:val="0"/>
        <w:ind w:left="0"/>
        <w:jc w:val="both"/>
        <w:textAlignment w:val="baseline"/>
      </w:pPr>
      <w:r w:rsidRPr="00AB7BBB">
        <w:lastRenderedPageBreak/>
        <w:t xml:space="preserve">We recommended and the College President agreed to undertake the following courses of action: </w:t>
      </w:r>
    </w:p>
    <w:p w14:paraId="28164E86" w14:textId="77777777" w:rsidR="00AB7BBB" w:rsidRPr="00AB7BBB" w:rsidRDefault="00AB7BBB" w:rsidP="00AB7BBB">
      <w:pPr>
        <w:ind w:firstLine="720"/>
        <w:jc w:val="both"/>
      </w:pPr>
    </w:p>
    <w:p w14:paraId="7ACF36F4" w14:textId="77777777" w:rsidR="00AB7BBB" w:rsidRPr="00AB7BBB" w:rsidRDefault="00AB7BBB" w:rsidP="004125BA">
      <w:pPr>
        <w:pStyle w:val="ListParagraph"/>
        <w:numPr>
          <w:ilvl w:val="0"/>
          <w:numId w:val="9"/>
        </w:numPr>
        <w:ind w:left="709" w:hanging="349"/>
        <w:jc w:val="both"/>
      </w:pPr>
      <w:r w:rsidRPr="00AB7BBB">
        <w:t>require the Vice President for Academic Affairs to revisit the programs with very low CPRs for the last five years and identify the causes of the poor performance in licensure examinations of its graduates, particularly in the field of education and agriculture; and</w:t>
      </w:r>
    </w:p>
    <w:p w14:paraId="7A7C2B65" w14:textId="77777777" w:rsidR="00AB7BBB" w:rsidRPr="00AB7BBB" w:rsidRDefault="00AB7BBB" w:rsidP="00AB7BBB"/>
    <w:p w14:paraId="0899AC2B" w14:textId="77777777" w:rsidR="00AB7BBB" w:rsidRPr="00AB7BBB" w:rsidRDefault="00AB7BBB" w:rsidP="004125BA">
      <w:pPr>
        <w:pStyle w:val="ListParagraph"/>
        <w:numPr>
          <w:ilvl w:val="0"/>
          <w:numId w:val="9"/>
        </w:numPr>
        <w:ind w:left="709" w:hanging="349"/>
        <w:jc w:val="both"/>
      </w:pPr>
      <w:r w:rsidRPr="00AB7BBB">
        <w:t xml:space="preserve">conduct an evaluation on the programs offered by the University on its performance in the areas of instruction, research and publication, extension and linkages and institutional qualifications which are the general criteria of CHED for the grant of COE and COD status. </w:t>
      </w:r>
    </w:p>
    <w:p w14:paraId="523BAB04" w14:textId="600D8279" w:rsidR="004F61E9" w:rsidRDefault="004F61E9" w:rsidP="00434F9A">
      <w:pPr>
        <w:jc w:val="both"/>
      </w:pPr>
    </w:p>
    <w:p w14:paraId="0153454F" w14:textId="77777777" w:rsidR="00434F9A" w:rsidRPr="0036285C" w:rsidRDefault="00434F9A" w:rsidP="00434F9A">
      <w:pPr>
        <w:jc w:val="both"/>
      </w:pPr>
    </w:p>
    <w:p w14:paraId="50AAD66C" w14:textId="2642E215" w:rsidR="0041349B" w:rsidRPr="0063769B" w:rsidRDefault="009F2720" w:rsidP="00D54011">
      <w:pPr>
        <w:pStyle w:val="Heading1"/>
        <w:numPr>
          <w:ilvl w:val="0"/>
          <w:numId w:val="2"/>
        </w:numPr>
        <w:rPr>
          <w:b w:val="0"/>
          <w:i/>
          <w:color w:val="000000"/>
        </w:rPr>
      </w:pPr>
      <w:r>
        <w:rPr>
          <w:i/>
          <w:color w:val="000000"/>
        </w:rPr>
        <w:t xml:space="preserve">Summary </w:t>
      </w:r>
      <w:r w:rsidR="0041349B" w:rsidRPr="0063769B">
        <w:rPr>
          <w:i/>
          <w:color w:val="000000"/>
        </w:rPr>
        <w:t>of Audit Suspensions, Disallowances and Charges</w:t>
      </w:r>
    </w:p>
    <w:p w14:paraId="44F0BEC2" w14:textId="77777777" w:rsidR="0041349B" w:rsidRPr="0063769B" w:rsidRDefault="0041349B" w:rsidP="0041349B">
      <w:pPr>
        <w:pStyle w:val="ListParagraph"/>
        <w:tabs>
          <w:tab w:val="left" w:pos="360"/>
        </w:tabs>
        <w:ind w:left="360"/>
        <w:jc w:val="both"/>
        <w:rPr>
          <w:b/>
          <w:color w:val="000000"/>
        </w:rPr>
      </w:pPr>
    </w:p>
    <w:p w14:paraId="62D2E3ED" w14:textId="20A92338" w:rsidR="0041349B" w:rsidRPr="00066EB1" w:rsidRDefault="00755389" w:rsidP="00960559">
      <w:pPr>
        <w:pStyle w:val="ListParagraph"/>
        <w:tabs>
          <w:tab w:val="left" w:pos="0"/>
        </w:tabs>
        <w:ind w:left="0"/>
        <w:jc w:val="both"/>
        <w:rPr>
          <w:color w:val="000000" w:themeColor="text1"/>
        </w:rPr>
      </w:pPr>
      <w:r w:rsidRPr="0063769B">
        <w:rPr>
          <w:color w:val="000000"/>
        </w:rPr>
        <w:tab/>
      </w:r>
      <w:r w:rsidR="0041349B" w:rsidRPr="00066EB1">
        <w:rPr>
          <w:color w:val="000000"/>
        </w:rPr>
        <w:t>As of December 31, 20</w:t>
      </w:r>
      <w:r w:rsidR="00CE793A" w:rsidRPr="00066EB1">
        <w:rPr>
          <w:color w:val="000000"/>
        </w:rPr>
        <w:t>20</w:t>
      </w:r>
      <w:r w:rsidR="00527E24" w:rsidRPr="00066EB1">
        <w:rPr>
          <w:color w:val="000000"/>
        </w:rPr>
        <w:t>,</w:t>
      </w:r>
      <w:r w:rsidR="0041349B" w:rsidRPr="00066EB1">
        <w:rPr>
          <w:color w:val="000000"/>
        </w:rPr>
        <w:t xml:space="preserve"> </w:t>
      </w:r>
      <w:r w:rsidR="0075765E" w:rsidRPr="00066EB1">
        <w:rPr>
          <w:color w:val="000000"/>
        </w:rPr>
        <w:t xml:space="preserve">the </w:t>
      </w:r>
      <w:r w:rsidR="0075765E" w:rsidRPr="00066EB1">
        <w:rPr>
          <w:color w:val="000000" w:themeColor="text1"/>
        </w:rPr>
        <w:t xml:space="preserve">College had unsettled disallowances totaling </w:t>
      </w:r>
      <w:r w:rsidR="00D54011" w:rsidRPr="00066EB1">
        <w:rPr>
          <w:color w:val="000000" w:themeColor="text1"/>
        </w:rPr>
        <w:t xml:space="preserve">to </w:t>
      </w:r>
      <w:r w:rsidR="0075765E" w:rsidRPr="00066EB1">
        <w:rPr>
          <w:color w:val="000000" w:themeColor="text1"/>
        </w:rPr>
        <w:t>₱</w:t>
      </w:r>
      <w:r w:rsidR="000F7F31" w:rsidRPr="00066EB1">
        <w:rPr>
          <w:color w:val="000000" w:themeColor="text1"/>
        </w:rPr>
        <w:t>2,117,944.19</w:t>
      </w:r>
      <w:r w:rsidR="009116F5" w:rsidRPr="00066EB1">
        <w:rPr>
          <w:color w:val="000000" w:themeColor="text1"/>
        </w:rPr>
        <w:t>, representing various</w:t>
      </w:r>
      <w:r w:rsidR="00AB71AC" w:rsidRPr="00066EB1">
        <w:rPr>
          <w:color w:val="000000" w:themeColor="text1"/>
        </w:rPr>
        <w:t xml:space="preserve"> payments </w:t>
      </w:r>
      <w:r w:rsidR="009116F5" w:rsidRPr="00066EB1">
        <w:rPr>
          <w:color w:val="000000" w:themeColor="text1"/>
        </w:rPr>
        <w:t>made</w:t>
      </w:r>
      <w:r w:rsidR="00AB71AC" w:rsidRPr="00066EB1">
        <w:rPr>
          <w:color w:val="000000" w:themeColor="text1"/>
        </w:rPr>
        <w:t xml:space="preserve"> to </w:t>
      </w:r>
      <w:r w:rsidR="00D54011" w:rsidRPr="00066EB1">
        <w:rPr>
          <w:color w:val="000000" w:themeColor="text1"/>
        </w:rPr>
        <w:t xml:space="preserve">the </w:t>
      </w:r>
      <w:r w:rsidR="00AB71AC" w:rsidRPr="00066EB1">
        <w:rPr>
          <w:color w:val="000000" w:themeColor="text1"/>
        </w:rPr>
        <w:t>regular faculty and personne</w:t>
      </w:r>
      <w:r w:rsidR="009116F5" w:rsidRPr="00066EB1">
        <w:rPr>
          <w:color w:val="000000" w:themeColor="text1"/>
        </w:rPr>
        <w:t>l</w:t>
      </w:r>
      <w:r w:rsidR="00066EB1">
        <w:rPr>
          <w:color w:val="000000" w:themeColor="text1"/>
        </w:rPr>
        <w:t>, which were deemed</w:t>
      </w:r>
      <w:r w:rsidR="009116F5" w:rsidRPr="00066EB1">
        <w:rPr>
          <w:color w:val="000000" w:themeColor="text1"/>
        </w:rPr>
        <w:t xml:space="preserve"> irregular in nature.  In settlement thereof, deductions from</w:t>
      </w:r>
      <w:r w:rsidR="00AB71AC" w:rsidRPr="00066EB1">
        <w:rPr>
          <w:color w:val="000000" w:themeColor="text1"/>
        </w:rPr>
        <w:t xml:space="preserve"> the payees’ salaries were made on a stag</w:t>
      </w:r>
      <w:r w:rsidR="00B26287" w:rsidRPr="00066EB1">
        <w:rPr>
          <w:color w:val="000000" w:themeColor="text1"/>
        </w:rPr>
        <w:t>ge</w:t>
      </w:r>
      <w:r w:rsidR="00AB71AC" w:rsidRPr="00066EB1">
        <w:rPr>
          <w:color w:val="000000" w:themeColor="text1"/>
        </w:rPr>
        <w:t>red basis.</w:t>
      </w:r>
    </w:p>
    <w:p w14:paraId="2E2A422E" w14:textId="77777777" w:rsidR="00470B76" w:rsidRPr="00066EB1" w:rsidRDefault="00470B76" w:rsidP="00960559">
      <w:pPr>
        <w:pStyle w:val="ListParagraph"/>
        <w:tabs>
          <w:tab w:val="left" w:pos="0"/>
        </w:tabs>
        <w:ind w:left="0"/>
        <w:jc w:val="both"/>
        <w:rPr>
          <w:color w:val="000000"/>
        </w:rPr>
      </w:pPr>
    </w:p>
    <w:p w14:paraId="54FA3077" w14:textId="77777777" w:rsidR="00960559" w:rsidRPr="00066EB1" w:rsidRDefault="00960559" w:rsidP="0041349B">
      <w:pPr>
        <w:pStyle w:val="ListParagraph"/>
        <w:tabs>
          <w:tab w:val="left" w:pos="360"/>
        </w:tabs>
        <w:ind w:left="360"/>
        <w:jc w:val="both"/>
        <w:rPr>
          <w:color w:val="000000"/>
        </w:rPr>
      </w:pPr>
    </w:p>
    <w:p w14:paraId="1D221841" w14:textId="696E74E2" w:rsidR="00501F1E" w:rsidRPr="00066EB1" w:rsidRDefault="00501F1E" w:rsidP="00D54011">
      <w:pPr>
        <w:pStyle w:val="Heading1"/>
        <w:numPr>
          <w:ilvl w:val="0"/>
          <w:numId w:val="2"/>
        </w:numPr>
        <w:rPr>
          <w:b w:val="0"/>
        </w:rPr>
      </w:pPr>
      <w:r w:rsidRPr="00066EB1">
        <w:rPr>
          <w:bCs w:val="0"/>
          <w:i/>
          <w:color w:val="000000"/>
        </w:rPr>
        <w:t xml:space="preserve">Status of Implementation of Prior Year’s Audit </w:t>
      </w:r>
      <w:r w:rsidRPr="00066EB1">
        <w:rPr>
          <w:color w:val="000000"/>
        </w:rPr>
        <w:t>Recommendation</w:t>
      </w:r>
      <w:r w:rsidR="00AA7B59" w:rsidRPr="00066EB1">
        <w:rPr>
          <w:color w:val="000000"/>
        </w:rPr>
        <w:t>s</w:t>
      </w:r>
      <w:r w:rsidRPr="00066EB1">
        <w:rPr>
          <w:color w:val="000000"/>
        </w:rPr>
        <w:t xml:space="preserve">      </w:t>
      </w:r>
    </w:p>
    <w:p w14:paraId="400932FB" w14:textId="77777777" w:rsidR="00501F1E" w:rsidRPr="00066EB1" w:rsidRDefault="00501F1E" w:rsidP="00501F1E">
      <w:pPr>
        <w:shd w:val="clear" w:color="auto" w:fill="FFFFFF"/>
        <w:tabs>
          <w:tab w:val="left" w:pos="810"/>
        </w:tabs>
        <w:ind w:left="810" w:hanging="900"/>
        <w:contextualSpacing/>
        <w:jc w:val="both"/>
        <w:rPr>
          <w:rFonts w:ascii="Times New Roman" w:hAnsi="Times New Roman"/>
          <w:sz w:val="24"/>
          <w:szCs w:val="24"/>
        </w:rPr>
      </w:pPr>
      <w:r w:rsidRPr="00066EB1">
        <w:rPr>
          <w:rFonts w:ascii="Times New Roman" w:hAnsi="Times New Roman"/>
          <w:color w:val="000000"/>
          <w:sz w:val="24"/>
          <w:szCs w:val="24"/>
        </w:rPr>
        <w:tab/>
      </w:r>
    </w:p>
    <w:p w14:paraId="3BF597F5" w14:textId="57D2D783" w:rsidR="00501F1E" w:rsidRPr="00A05C02" w:rsidRDefault="00A4206C" w:rsidP="00066EB1">
      <w:pPr>
        <w:tabs>
          <w:tab w:val="left" w:pos="90"/>
          <w:tab w:val="left" w:pos="270"/>
        </w:tabs>
        <w:ind w:hanging="900"/>
        <w:contextualSpacing/>
        <w:jc w:val="both"/>
        <w:rPr>
          <w:rFonts w:ascii="Times New Roman" w:hAnsi="Times New Roman"/>
          <w:sz w:val="24"/>
          <w:szCs w:val="24"/>
        </w:rPr>
      </w:pPr>
      <w:r w:rsidRPr="00066EB1">
        <w:rPr>
          <w:rFonts w:ascii="Times New Roman" w:hAnsi="Times New Roman"/>
          <w:sz w:val="24"/>
          <w:szCs w:val="24"/>
        </w:rPr>
        <w:tab/>
      </w:r>
      <w:r w:rsidR="00755389" w:rsidRPr="00066EB1">
        <w:rPr>
          <w:rFonts w:ascii="Times New Roman" w:hAnsi="Times New Roman"/>
          <w:sz w:val="24"/>
          <w:szCs w:val="24"/>
        </w:rPr>
        <w:tab/>
      </w:r>
      <w:r w:rsidR="00755389" w:rsidRPr="00066EB1">
        <w:rPr>
          <w:rFonts w:ascii="Times New Roman" w:hAnsi="Times New Roman"/>
          <w:sz w:val="24"/>
          <w:szCs w:val="24"/>
        </w:rPr>
        <w:tab/>
      </w:r>
      <w:r w:rsidR="00755389" w:rsidRPr="00066EB1">
        <w:rPr>
          <w:rFonts w:ascii="Times New Roman" w:hAnsi="Times New Roman"/>
          <w:sz w:val="24"/>
          <w:szCs w:val="24"/>
        </w:rPr>
        <w:tab/>
      </w:r>
      <w:r w:rsidR="00464059" w:rsidRPr="00066EB1">
        <w:rPr>
          <w:rFonts w:ascii="Times New Roman" w:hAnsi="Times New Roman"/>
          <w:sz w:val="24"/>
          <w:szCs w:val="24"/>
        </w:rPr>
        <w:t>Out of</w:t>
      </w:r>
      <w:r w:rsidR="005F0457" w:rsidRPr="00066EB1">
        <w:rPr>
          <w:rFonts w:ascii="Times New Roman" w:hAnsi="Times New Roman"/>
          <w:sz w:val="24"/>
          <w:szCs w:val="24"/>
        </w:rPr>
        <w:t xml:space="preserve"> the 15 </w:t>
      </w:r>
      <w:r w:rsidR="00501F1E" w:rsidRPr="00066EB1">
        <w:rPr>
          <w:rFonts w:ascii="Times New Roman" w:hAnsi="Times New Roman"/>
          <w:sz w:val="24"/>
          <w:szCs w:val="24"/>
        </w:rPr>
        <w:t>audit recommendations included in the previous year’s Annual Audit Report</w:t>
      </w:r>
      <w:r w:rsidR="00D54011" w:rsidRPr="00066EB1">
        <w:rPr>
          <w:rFonts w:ascii="Times New Roman" w:hAnsi="Times New Roman"/>
          <w:sz w:val="24"/>
          <w:szCs w:val="24"/>
        </w:rPr>
        <w:t xml:space="preserve"> (AAR)</w:t>
      </w:r>
      <w:r w:rsidR="00501F1E" w:rsidRPr="00066EB1">
        <w:rPr>
          <w:rFonts w:ascii="Times New Roman" w:hAnsi="Times New Roman"/>
          <w:sz w:val="24"/>
          <w:szCs w:val="24"/>
        </w:rPr>
        <w:t xml:space="preserve">, </w:t>
      </w:r>
      <w:r w:rsidR="005F0457" w:rsidRPr="00066EB1">
        <w:rPr>
          <w:rFonts w:ascii="Times New Roman" w:hAnsi="Times New Roman"/>
          <w:sz w:val="24"/>
          <w:szCs w:val="24"/>
        </w:rPr>
        <w:t>1</w:t>
      </w:r>
      <w:r w:rsidR="00066EB1" w:rsidRPr="00066EB1">
        <w:rPr>
          <w:rFonts w:ascii="Times New Roman" w:hAnsi="Times New Roman"/>
          <w:sz w:val="24"/>
          <w:szCs w:val="24"/>
        </w:rPr>
        <w:t>2</w:t>
      </w:r>
      <w:r w:rsidR="005F0457" w:rsidRPr="00066EB1">
        <w:rPr>
          <w:rFonts w:ascii="Times New Roman" w:hAnsi="Times New Roman"/>
          <w:sz w:val="24"/>
          <w:szCs w:val="24"/>
        </w:rPr>
        <w:t xml:space="preserve"> </w:t>
      </w:r>
      <w:r w:rsidR="00B15F64" w:rsidRPr="00066EB1">
        <w:rPr>
          <w:rFonts w:ascii="Times New Roman" w:hAnsi="Times New Roman"/>
          <w:sz w:val="24"/>
          <w:szCs w:val="24"/>
        </w:rPr>
        <w:t>w</w:t>
      </w:r>
      <w:r w:rsidR="000044D0" w:rsidRPr="00066EB1">
        <w:rPr>
          <w:rFonts w:ascii="Times New Roman" w:hAnsi="Times New Roman"/>
          <w:sz w:val="24"/>
          <w:szCs w:val="24"/>
        </w:rPr>
        <w:t xml:space="preserve">ere </w:t>
      </w:r>
      <w:r w:rsidR="004652DA" w:rsidRPr="00066EB1">
        <w:rPr>
          <w:rFonts w:ascii="Times New Roman" w:hAnsi="Times New Roman"/>
          <w:sz w:val="24"/>
          <w:szCs w:val="24"/>
        </w:rPr>
        <w:t xml:space="preserve">fully </w:t>
      </w:r>
      <w:r w:rsidR="000044D0" w:rsidRPr="00066EB1">
        <w:rPr>
          <w:rFonts w:ascii="Times New Roman" w:hAnsi="Times New Roman"/>
          <w:sz w:val="24"/>
          <w:szCs w:val="24"/>
        </w:rPr>
        <w:t>implemented</w:t>
      </w:r>
      <w:r w:rsidR="00D54011" w:rsidRPr="00066EB1">
        <w:rPr>
          <w:rFonts w:ascii="Times New Roman" w:hAnsi="Times New Roman"/>
          <w:sz w:val="24"/>
          <w:szCs w:val="24"/>
        </w:rPr>
        <w:t xml:space="preserve"> while</w:t>
      </w:r>
      <w:r w:rsidR="00803729" w:rsidRPr="00066EB1">
        <w:rPr>
          <w:rFonts w:ascii="Times New Roman" w:hAnsi="Times New Roman"/>
          <w:sz w:val="24"/>
          <w:szCs w:val="24"/>
        </w:rPr>
        <w:t xml:space="preserve"> </w:t>
      </w:r>
      <w:r w:rsidR="00066EB1" w:rsidRPr="00066EB1">
        <w:rPr>
          <w:rFonts w:ascii="Times New Roman" w:hAnsi="Times New Roman"/>
          <w:sz w:val="24"/>
          <w:szCs w:val="24"/>
        </w:rPr>
        <w:t>three</w:t>
      </w:r>
      <w:r w:rsidR="000044D0" w:rsidRPr="00066EB1">
        <w:rPr>
          <w:rFonts w:ascii="Times New Roman" w:hAnsi="Times New Roman"/>
          <w:sz w:val="24"/>
          <w:szCs w:val="24"/>
        </w:rPr>
        <w:t xml:space="preserve"> were partially implemented</w:t>
      </w:r>
      <w:r w:rsidR="005F0457" w:rsidRPr="00066EB1">
        <w:rPr>
          <w:rFonts w:ascii="Times New Roman" w:hAnsi="Times New Roman"/>
          <w:sz w:val="24"/>
          <w:szCs w:val="24"/>
        </w:rPr>
        <w:t>.</w:t>
      </w:r>
    </w:p>
    <w:sectPr w:rsidR="00501F1E" w:rsidRPr="00A05C02" w:rsidSect="00602A01">
      <w:footerReference w:type="default" r:id="rId8"/>
      <w:footerReference w:type="first" r:id="rId9"/>
      <w:pgSz w:w="12240" w:h="15840" w:code="1"/>
      <w:pgMar w:top="1440" w:right="1440" w:bottom="1440" w:left="2160"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B560" w14:textId="77777777" w:rsidR="00AC06C4" w:rsidRDefault="00AC06C4" w:rsidP="00041421">
      <w:r>
        <w:separator/>
      </w:r>
    </w:p>
  </w:endnote>
  <w:endnote w:type="continuationSeparator" w:id="0">
    <w:p w14:paraId="3C374E69" w14:textId="77777777" w:rsidR="00AC06C4" w:rsidRDefault="00AC06C4" w:rsidP="0004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712775"/>
      <w:docPartObj>
        <w:docPartGallery w:val="Page Numbers (Bottom of Page)"/>
        <w:docPartUnique/>
      </w:docPartObj>
    </w:sdtPr>
    <w:sdtEndPr>
      <w:rPr>
        <w:noProof/>
      </w:rPr>
    </w:sdtEndPr>
    <w:sdtContent>
      <w:p w14:paraId="6646A794" w14:textId="77777777" w:rsidR="00113539" w:rsidRDefault="00113539">
        <w:pPr>
          <w:pStyle w:val="Footer"/>
          <w:jc w:val="center"/>
        </w:pPr>
        <w:r>
          <w:fldChar w:fldCharType="begin"/>
        </w:r>
        <w:r>
          <w:instrText xml:space="preserve"> PAGE   \* MERGEFORMAT </w:instrText>
        </w:r>
        <w:r>
          <w:fldChar w:fldCharType="separate"/>
        </w:r>
        <w:r w:rsidR="00515B46">
          <w:rPr>
            <w:noProof/>
          </w:rPr>
          <w:t>vii</w:t>
        </w:r>
        <w:r>
          <w:rPr>
            <w:noProof/>
          </w:rPr>
          <w:fldChar w:fldCharType="end"/>
        </w:r>
      </w:p>
    </w:sdtContent>
  </w:sdt>
  <w:p w14:paraId="3F97CA5C" w14:textId="77777777" w:rsidR="00113539" w:rsidRDefault="00113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28803"/>
      <w:docPartObj>
        <w:docPartGallery w:val="Page Numbers (Bottom of Page)"/>
        <w:docPartUnique/>
      </w:docPartObj>
    </w:sdtPr>
    <w:sdtEndPr>
      <w:rPr>
        <w:noProof/>
      </w:rPr>
    </w:sdtEndPr>
    <w:sdtContent>
      <w:p w14:paraId="1C14CF36" w14:textId="77777777" w:rsidR="00113539" w:rsidRDefault="00113539">
        <w:pPr>
          <w:pStyle w:val="Footer"/>
          <w:jc w:val="center"/>
        </w:pPr>
        <w:r>
          <w:fldChar w:fldCharType="begin"/>
        </w:r>
        <w:r>
          <w:instrText xml:space="preserve"> PAGE   \* MERGEFORMAT </w:instrText>
        </w:r>
        <w:r>
          <w:fldChar w:fldCharType="separate"/>
        </w:r>
        <w:r w:rsidR="00515B46">
          <w:rPr>
            <w:noProof/>
          </w:rPr>
          <w:t>i</w:t>
        </w:r>
        <w:r>
          <w:rPr>
            <w:noProof/>
          </w:rPr>
          <w:fldChar w:fldCharType="end"/>
        </w:r>
      </w:p>
    </w:sdtContent>
  </w:sdt>
  <w:p w14:paraId="655E1D56" w14:textId="77777777" w:rsidR="00113539" w:rsidRDefault="00113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50513" w14:textId="77777777" w:rsidR="00AC06C4" w:rsidRDefault="00AC06C4" w:rsidP="00041421">
      <w:r>
        <w:separator/>
      </w:r>
    </w:p>
  </w:footnote>
  <w:footnote w:type="continuationSeparator" w:id="0">
    <w:p w14:paraId="5909519A" w14:textId="77777777" w:rsidR="00AC06C4" w:rsidRDefault="00AC06C4" w:rsidP="00041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E1E"/>
    <w:multiLevelType w:val="hybridMultilevel"/>
    <w:tmpl w:val="A4226054"/>
    <w:lvl w:ilvl="0" w:tplc="EB8C1CC8">
      <w:start w:val="1"/>
      <w:numFmt w:val="upperLetter"/>
      <w:lvlText w:val="%1."/>
      <w:lvlJc w:val="left"/>
      <w:pPr>
        <w:ind w:left="36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4A11BE"/>
    <w:multiLevelType w:val="hybridMultilevel"/>
    <w:tmpl w:val="476C69B4"/>
    <w:lvl w:ilvl="0" w:tplc="D67E244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27F80662"/>
    <w:multiLevelType w:val="hybridMultilevel"/>
    <w:tmpl w:val="09988388"/>
    <w:lvl w:ilvl="0" w:tplc="08C0E8F8">
      <w:numFmt w:val="bullet"/>
      <w:lvlText w:val="-"/>
      <w:lvlJc w:val="left"/>
      <w:pPr>
        <w:ind w:left="5250" w:hanging="360"/>
      </w:pPr>
      <w:rPr>
        <w:rFonts w:ascii="Cambria" w:eastAsia="Times New Roman" w:hAnsi="Cambria" w:cs="Times New Roman" w:hint="default"/>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3" w15:restartNumberingAfterBreak="0">
    <w:nsid w:val="35DE5543"/>
    <w:multiLevelType w:val="hybridMultilevel"/>
    <w:tmpl w:val="1A081BD4"/>
    <w:lvl w:ilvl="0" w:tplc="DA7EA2F6">
      <w:start w:val="1"/>
      <w:numFmt w:val="decimal"/>
      <w:lvlText w:val="%1."/>
      <w:lvlJc w:val="left"/>
      <w:pPr>
        <w:ind w:left="720" w:hanging="360"/>
      </w:pPr>
      <w:rPr>
        <w:rFonts w:hint="default"/>
        <w:b w:val="0"/>
        <w:bCs w:val="0"/>
        <w:i w:val="0"/>
        <w:i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A7E81"/>
    <w:multiLevelType w:val="hybridMultilevel"/>
    <w:tmpl w:val="32B6FA36"/>
    <w:lvl w:ilvl="0" w:tplc="08C0E8F8">
      <w:numFmt w:val="bullet"/>
      <w:lvlText w:val="-"/>
      <w:lvlJc w:val="left"/>
      <w:pPr>
        <w:ind w:left="3960" w:hanging="360"/>
      </w:pPr>
      <w:rPr>
        <w:rFonts w:ascii="Cambria" w:eastAsia="Times New Roman" w:hAnsi="Cambria"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5BA9276E"/>
    <w:multiLevelType w:val="hybridMultilevel"/>
    <w:tmpl w:val="A00C5AD4"/>
    <w:lvl w:ilvl="0" w:tplc="08C0E8F8">
      <w:numFmt w:val="bullet"/>
      <w:lvlText w:val="-"/>
      <w:lvlJc w:val="left"/>
      <w:pPr>
        <w:ind w:left="5131" w:hanging="360"/>
      </w:pPr>
      <w:rPr>
        <w:rFonts w:ascii="Cambria" w:eastAsia="Times New Roman" w:hAnsi="Cambria" w:cs="Times New Roman" w:hint="default"/>
      </w:rPr>
    </w:lvl>
    <w:lvl w:ilvl="1" w:tplc="04090003">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6" w15:restartNumberingAfterBreak="0">
    <w:nsid w:val="6A1451E6"/>
    <w:multiLevelType w:val="hybridMultilevel"/>
    <w:tmpl w:val="B9CC383C"/>
    <w:lvl w:ilvl="0" w:tplc="A1AA8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2B309D"/>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70CB5E62"/>
    <w:multiLevelType w:val="hybridMultilevel"/>
    <w:tmpl w:val="6DE8EFEA"/>
    <w:lvl w:ilvl="0" w:tplc="9536C8B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750F038B"/>
    <w:multiLevelType w:val="multilevel"/>
    <w:tmpl w:val="169A820C"/>
    <w:lvl w:ilvl="0">
      <w:start w:val="1"/>
      <w:numFmt w:val="decimal"/>
      <w:lvlText w:val="%1."/>
      <w:lvlJc w:val="left"/>
      <w:pPr>
        <w:ind w:left="720" w:hanging="360"/>
      </w:pPr>
      <w:rPr>
        <w:rFonts w:hint="default"/>
        <w:b/>
        <w:i/>
        <w:iCs w:val="0"/>
        <w:sz w:val="24"/>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6D3E01"/>
    <w:multiLevelType w:val="hybridMultilevel"/>
    <w:tmpl w:val="87B8487E"/>
    <w:lvl w:ilvl="0" w:tplc="6D9C5136">
      <w:start w:val="1"/>
      <w:numFmt w:val="decimal"/>
      <w:lvlText w:val="%1."/>
      <w:lvlJc w:val="left"/>
      <w:pPr>
        <w:ind w:left="360" w:hanging="360"/>
      </w:pPr>
      <w:rPr>
        <w:rFonts w:ascii="Times New Roman" w:hAnsi="Times New Roman" w:cs="Times New Roman" w:hint="default"/>
        <w:b w:val="0"/>
        <w:bCs/>
        <w:sz w:val="24"/>
        <w:szCs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7FAA7E95"/>
    <w:multiLevelType w:val="hybridMultilevel"/>
    <w:tmpl w:val="1C067B0E"/>
    <w:lvl w:ilvl="0" w:tplc="DF346D02">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E8D6D992">
      <w:start w:val="5"/>
      <w:numFmt w:val="decimal"/>
      <w:lvlText w:val="%3."/>
      <w:lvlJc w:val="left"/>
      <w:pPr>
        <w:ind w:left="2700" w:hanging="360"/>
      </w:pPr>
      <w:rPr>
        <w:rFonts w:hint="default"/>
      </w:rPr>
    </w:lvl>
    <w:lvl w:ilvl="3" w:tplc="4E54746E">
      <w:start w:val="2"/>
      <w:numFmt w:val="decimal"/>
      <w:lvlText w:val="%4"/>
      <w:lvlJc w:val="left"/>
      <w:pPr>
        <w:ind w:left="3240" w:hanging="360"/>
      </w:pPr>
      <w:rPr>
        <w:rFonts w:hint="default"/>
        <w:i w:val="0"/>
      </w:r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4"/>
  </w:num>
  <w:num w:numId="2">
    <w:abstractNumId w:val="0"/>
  </w:num>
  <w:num w:numId="3">
    <w:abstractNumId w:val="11"/>
  </w:num>
  <w:num w:numId="4">
    <w:abstractNumId w:val="1"/>
  </w:num>
  <w:num w:numId="5">
    <w:abstractNumId w:val="10"/>
  </w:num>
  <w:num w:numId="6">
    <w:abstractNumId w:val="2"/>
  </w:num>
  <w:num w:numId="7">
    <w:abstractNumId w:val="5"/>
  </w:num>
  <w:num w:numId="8">
    <w:abstractNumId w:val="3"/>
  </w:num>
  <w:num w:numId="9">
    <w:abstractNumId w:val="6"/>
  </w:num>
  <w:num w:numId="10">
    <w:abstractNumId w:val="8"/>
  </w:num>
  <w:num w:numId="11">
    <w:abstractNumId w:val="7"/>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dmAJv42qOzgvUGL0ibLCU7OKFIcC2Et17XmtQjSNLIIXjBKH+/8D9ZveWVBXNkjvkMM0ZDwUxq0NUElwnzFFQ==" w:salt="sno25WzYXDsF4Z8eKwWi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D"/>
    <w:rsid w:val="000044D0"/>
    <w:rsid w:val="00005DA4"/>
    <w:rsid w:val="0001410C"/>
    <w:rsid w:val="00030182"/>
    <w:rsid w:val="0003060B"/>
    <w:rsid w:val="00041421"/>
    <w:rsid w:val="00054CB7"/>
    <w:rsid w:val="00062353"/>
    <w:rsid w:val="00064665"/>
    <w:rsid w:val="00066B92"/>
    <w:rsid w:val="00066EB1"/>
    <w:rsid w:val="000713A7"/>
    <w:rsid w:val="000717EE"/>
    <w:rsid w:val="000913D1"/>
    <w:rsid w:val="000917BF"/>
    <w:rsid w:val="00092D78"/>
    <w:rsid w:val="000A0BFD"/>
    <w:rsid w:val="000A20C7"/>
    <w:rsid w:val="000B7065"/>
    <w:rsid w:val="000B78C3"/>
    <w:rsid w:val="000C0E3D"/>
    <w:rsid w:val="000C606B"/>
    <w:rsid w:val="000D15A2"/>
    <w:rsid w:val="000D5EAE"/>
    <w:rsid w:val="000D6AEA"/>
    <w:rsid w:val="000D7D77"/>
    <w:rsid w:val="000E13B2"/>
    <w:rsid w:val="000F0385"/>
    <w:rsid w:val="000F2130"/>
    <w:rsid w:val="000F3EBF"/>
    <w:rsid w:val="000F517C"/>
    <w:rsid w:val="000F6AC9"/>
    <w:rsid w:val="000F7F31"/>
    <w:rsid w:val="00100732"/>
    <w:rsid w:val="00101146"/>
    <w:rsid w:val="00102D70"/>
    <w:rsid w:val="001077A3"/>
    <w:rsid w:val="0011060E"/>
    <w:rsid w:val="0011222B"/>
    <w:rsid w:val="00113539"/>
    <w:rsid w:val="00126D99"/>
    <w:rsid w:val="0013004A"/>
    <w:rsid w:val="00141E89"/>
    <w:rsid w:val="00142960"/>
    <w:rsid w:val="0014396B"/>
    <w:rsid w:val="00146856"/>
    <w:rsid w:val="001475BC"/>
    <w:rsid w:val="00153939"/>
    <w:rsid w:val="001560D3"/>
    <w:rsid w:val="00157159"/>
    <w:rsid w:val="00160AE5"/>
    <w:rsid w:val="00164287"/>
    <w:rsid w:val="00166ED6"/>
    <w:rsid w:val="00167D29"/>
    <w:rsid w:val="00173AB2"/>
    <w:rsid w:val="00174D17"/>
    <w:rsid w:val="00176BE4"/>
    <w:rsid w:val="00176CC1"/>
    <w:rsid w:val="00186E0D"/>
    <w:rsid w:val="00191D09"/>
    <w:rsid w:val="001923E0"/>
    <w:rsid w:val="00194A94"/>
    <w:rsid w:val="00196378"/>
    <w:rsid w:val="00196B66"/>
    <w:rsid w:val="001A3B0D"/>
    <w:rsid w:val="001A3DAF"/>
    <w:rsid w:val="001A7CD1"/>
    <w:rsid w:val="001B390C"/>
    <w:rsid w:val="001B589D"/>
    <w:rsid w:val="001C1022"/>
    <w:rsid w:val="001C47D7"/>
    <w:rsid w:val="001C6C71"/>
    <w:rsid w:val="001D409D"/>
    <w:rsid w:val="001E528C"/>
    <w:rsid w:val="001E5A23"/>
    <w:rsid w:val="001F10E1"/>
    <w:rsid w:val="00203C8D"/>
    <w:rsid w:val="0021605F"/>
    <w:rsid w:val="00220D81"/>
    <w:rsid w:val="00224EE6"/>
    <w:rsid w:val="00225367"/>
    <w:rsid w:val="002330B9"/>
    <w:rsid w:val="0023561F"/>
    <w:rsid w:val="00236884"/>
    <w:rsid w:val="00243426"/>
    <w:rsid w:val="00243D78"/>
    <w:rsid w:val="00244D00"/>
    <w:rsid w:val="00245F33"/>
    <w:rsid w:val="00246D01"/>
    <w:rsid w:val="002506BA"/>
    <w:rsid w:val="0025165C"/>
    <w:rsid w:val="00252A64"/>
    <w:rsid w:val="00262C36"/>
    <w:rsid w:val="0026403D"/>
    <w:rsid w:val="00265C95"/>
    <w:rsid w:val="00266B47"/>
    <w:rsid w:val="002816DC"/>
    <w:rsid w:val="00291D4D"/>
    <w:rsid w:val="00292D6B"/>
    <w:rsid w:val="00292E94"/>
    <w:rsid w:val="00297101"/>
    <w:rsid w:val="00297F71"/>
    <w:rsid w:val="002A1616"/>
    <w:rsid w:val="002A1DBF"/>
    <w:rsid w:val="002A21C4"/>
    <w:rsid w:val="002A3535"/>
    <w:rsid w:val="002A3F38"/>
    <w:rsid w:val="002A4428"/>
    <w:rsid w:val="002B019C"/>
    <w:rsid w:val="002B0D78"/>
    <w:rsid w:val="002B4251"/>
    <w:rsid w:val="002B439C"/>
    <w:rsid w:val="002C56FC"/>
    <w:rsid w:val="002D1EB9"/>
    <w:rsid w:val="002D2B9D"/>
    <w:rsid w:val="002E2B56"/>
    <w:rsid w:val="002F5661"/>
    <w:rsid w:val="003031E4"/>
    <w:rsid w:val="00312F46"/>
    <w:rsid w:val="003174A2"/>
    <w:rsid w:val="00323E1A"/>
    <w:rsid w:val="00324638"/>
    <w:rsid w:val="00326D9A"/>
    <w:rsid w:val="00336B55"/>
    <w:rsid w:val="00347010"/>
    <w:rsid w:val="003529EA"/>
    <w:rsid w:val="003538BD"/>
    <w:rsid w:val="0035547A"/>
    <w:rsid w:val="0035754A"/>
    <w:rsid w:val="0036285C"/>
    <w:rsid w:val="003731B6"/>
    <w:rsid w:val="0037399C"/>
    <w:rsid w:val="003765A6"/>
    <w:rsid w:val="0037710F"/>
    <w:rsid w:val="00382817"/>
    <w:rsid w:val="00382E6A"/>
    <w:rsid w:val="0038579F"/>
    <w:rsid w:val="0039210A"/>
    <w:rsid w:val="00393EA6"/>
    <w:rsid w:val="00397D84"/>
    <w:rsid w:val="003A3147"/>
    <w:rsid w:val="003B02FD"/>
    <w:rsid w:val="003B5EE9"/>
    <w:rsid w:val="003B67CC"/>
    <w:rsid w:val="003C3050"/>
    <w:rsid w:val="003C5CDF"/>
    <w:rsid w:val="003C613E"/>
    <w:rsid w:val="003C7516"/>
    <w:rsid w:val="003C7867"/>
    <w:rsid w:val="003D26E6"/>
    <w:rsid w:val="003D31B1"/>
    <w:rsid w:val="003D5F02"/>
    <w:rsid w:val="003D7C56"/>
    <w:rsid w:val="003F5476"/>
    <w:rsid w:val="003F5508"/>
    <w:rsid w:val="003F5D08"/>
    <w:rsid w:val="003F6AE3"/>
    <w:rsid w:val="003F7031"/>
    <w:rsid w:val="00403EFB"/>
    <w:rsid w:val="00404688"/>
    <w:rsid w:val="00404FFF"/>
    <w:rsid w:val="00407681"/>
    <w:rsid w:val="004125BA"/>
    <w:rsid w:val="0041349B"/>
    <w:rsid w:val="004174B7"/>
    <w:rsid w:val="004217F1"/>
    <w:rsid w:val="00431736"/>
    <w:rsid w:val="00431962"/>
    <w:rsid w:val="00434F9A"/>
    <w:rsid w:val="0043784D"/>
    <w:rsid w:val="00456186"/>
    <w:rsid w:val="00462FC6"/>
    <w:rsid w:val="00464059"/>
    <w:rsid w:val="004643F0"/>
    <w:rsid w:val="004652DA"/>
    <w:rsid w:val="004656F3"/>
    <w:rsid w:val="0046683D"/>
    <w:rsid w:val="00470B76"/>
    <w:rsid w:val="00472674"/>
    <w:rsid w:val="00474C94"/>
    <w:rsid w:val="00477399"/>
    <w:rsid w:val="004838E2"/>
    <w:rsid w:val="0048406C"/>
    <w:rsid w:val="00484D69"/>
    <w:rsid w:val="004865C5"/>
    <w:rsid w:val="00490062"/>
    <w:rsid w:val="00490555"/>
    <w:rsid w:val="0049248D"/>
    <w:rsid w:val="004967B7"/>
    <w:rsid w:val="004A0071"/>
    <w:rsid w:val="004A02DB"/>
    <w:rsid w:val="004A51EB"/>
    <w:rsid w:val="004A5D5B"/>
    <w:rsid w:val="004B58A2"/>
    <w:rsid w:val="004B6D09"/>
    <w:rsid w:val="004B7C93"/>
    <w:rsid w:val="004C2A62"/>
    <w:rsid w:val="004D429B"/>
    <w:rsid w:val="004D674B"/>
    <w:rsid w:val="004E1C6F"/>
    <w:rsid w:val="004E582B"/>
    <w:rsid w:val="004F1A86"/>
    <w:rsid w:val="004F309C"/>
    <w:rsid w:val="004F56B2"/>
    <w:rsid w:val="004F5F78"/>
    <w:rsid w:val="004F61E9"/>
    <w:rsid w:val="004F6390"/>
    <w:rsid w:val="004F63FD"/>
    <w:rsid w:val="00500951"/>
    <w:rsid w:val="00500C06"/>
    <w:rsid w:val="00501F1E"/>
    <w:rsid w:val="005027A6"/>
    <w:rsid w:val="00502BAD"/>
    <w:rsid w:val="0050484F"/>
    <w:rsid w:val="00506FD6"/>
    <w:rsid w:val="00510BCB"/>
    <w:rsid w:val="005111D4"/>
    <w:rsid w:val="00514A98"/>
    <w:rsid w:val="00515B46"/>
    <w:rsid w:val="00521F66"/>
    <w:rsid w:val="00526B4C"/>
    <w:rsid w:val="00527E24"/>
    <w:rsid w:val="00533CA3"/>
    <w:rsid w:val="00534B41"/>
    <w:rsid w:val="00537078"/>
    <w:rsid w:val="00542206"/>
    <w:rsid w:val="00550C17"/>
    <w:rsid w:val="00564E89"/>
    <w:rsid w:val="005732BD"/>
    <w:rsid w:val="00581B69"/>
    <w:rsid w:val="00582DBB"/>
    <w:rsid w:val="00590284"/>
    <w:rsid w:val="005A2477"/>
    <w:rsid w:val="005A2E59"/>
    <w:rsid w:val="005A5E49"/>
    <w:rsid w:val="005A70D6"/>
    <w:rsid w:val="005B086B"/>
    <w:rsid w:val="005B5574"/>
    <w:rsid w:val="005B7A3F"/>
    <w:rsid w:val="005C0994"/>
    <w:rsid w:val="005C308B"/>
    <w:rsid w:val="005C33D3"/>
    <w:rsid w:val="005C439F"/>
    <w:rsid w:val="005C4F52"/>
    <w:rsid w:val="005C7BD6"/>
    <w:rsid w:val="005D5F6A"/>
    <w:rsid w:val="005D7424"/>
    <w:rsid w:val="005E58AF"/>
    <w:rsid w:val="005F0457"/>
    <w:rsid w:val="005F115E"/>
    <w:rsid w:val="005F6DCE"/>
    <w:rsid w:val="005F75DD"/>
    <w:rsid w:val="0060236A"/>
    <w:rsid w:val="00602A01"/>
    <w:rsid w:val="00602ABE"/>
    <w:rsid w:val="00603D70"/>
    <w:rsid w:val="00604236"/>
    <w:rsid w:val="006048F8"/>
    <w:rsid w:val="00605734"/>
    <w:rsid w:val="00606D0F"/>
    <w:rsid w:val="00606D1C"/>
    <w:rsid w:val="00607B34"/>
    <w:rsid w:val="00607BE3"/>
    <w:rsid w:val="00611E38"/>
    <w:rsid w:val="00620343"/>
    <w:rsid w:val="00621703"/>
    <w:rsid w:val="006259A9"/>
    <w:rsid w:val="0063769B"/>
    <w:rsid w:val="00637BCD"/>
    <w:rsid w:val="006409CE"/>
    <w:rsid w:val="00646CE5"/>
    <w:rsid w:val="00653517"/>
    <w:rsid w:val="00656C23"/>
    <w:rsid w:val="00660AAC"/>
    <w:rsid w:val="00662448"/>
    <w:rsid w:val="006641DE"/>
    <w:rsid w:val="00673AB5"/>
    <w:rsid w:val="00680C7E"/>
    <w:rsid w:val="00682672"/>
    <w:rsid w:val="0069323B"/>
    <w:rsid w:val="0069698E"/>
    <w:rsid w:val="00696BAC"/>
    <w:rsid w:val="00696C26"/>
    <w:rsid w:val="006A0238"/>
    <w:rsid w:val="006A060A"/>
    <w:rsid w:val="006B10BF"/>
    <w:rsid w:val="006C5171"/>
    <w:rsid w:val="006C69FC"/>
    <w:rsid w:val="006D07FD"/>
    <w:rsid w:val="006D1168"/>
    <w:rsid w:val="006D6262"/>
    <w:rsid w:val="006F16EA"/>
    <w:rsid w:val="006F500E"/>
    <w:rsid w:val="00701B86"/>
    <w:rsid w:val="00714253"/>
    <w:rsid w:val="00715096"/>
    <w:rsid w:val="0071578D"/>
    <w:rsid w:val="00726FB4"/>
    <w:rsid w:val="00730865"/>
    <w:rsid w:val="0073211A"/>
    <w:rsid w:val="00732A08"/>
    <w:rsid w:val="00733687"/>
    <w:rsid w:val="0073406A"/>
    <w:rsid w:val="00734922"/>
    <w:rsid w:val="0073698C"/>
    <w:rsid w:val="00736C7C"/>
    <w:rsid w:val="00755389"/>
    <w:rsid w:val="0075765E"/>
    <w:rsid w:val="00772C2D"/>
    <w:rsid w:val="007821B8"/>
    <w:rsid w:val="007829CE"/>
    <w:rsid w:val="00782FE4"/>
    <w:rsid w:val="00791793"/>
    <w:rsid w:val="00796215"/>
    <w:rsid w:val="0079757D"/>
    <w:rsid w:val="00797B5F"/>
    <w:rsid w:val="007A1090"/>
    <w:rsid w:val="007A57D6"/>
    <w:rsid w:val="007A61F9"/>
    <w:rsid w:val="007B0FCC"/>
    <w:rsid w:val="007C6C17"/>
    <w:rsid w:val="007D0ED6"/>
    <w:rsid w:val="007D3A7C"/>
    <w:rsid w:val="007E6A96"/>
    <w:rsid w:val="007F09FB"/>
    <w:rsid w:val="00801237"/>
    <w:rsid w:val="00803729"/>
    <w:rsid w:val="00806C29"/>
    <w:rsid w:val="008130F0"/>
    <w:rsid w:val="0081673D"/>
    <w:rsid w:val="008175BC"/>
    <w:rsid w:val="00821ADA"/>
    <w:rsid w:val="008255F3"/>
    <w:rsid w:val="00827B00"/>
    <w:rsid w:val="008311EE"/>
    <w:rsid w:val="008337CA"/>
    <w:rsid w:val="00836772"/>
    <w:rsid w:val="00840C68"/>
    <w:rsid w:val="008425EE"/>
    <w:rsid w:val="0084562C"/>
    <w:rsid w:val="00851141"/>
    <w:rsid w:val="00851813"/>
    <w:rsid w:val="0086505F"/>
    <w:rsid w:val="008704B1"/>
    <w:rsid w:val="0087303F"/>
    <w:rsid w:val="008779AA"/>
    <w:rsid w:val="00881AE2"/>
    <w:rsid w:val="008A001D"/>
    <w:rsid w:val="008A2058"/>
    <w:rsid w:val="008A53F0"/>
    <w:rsid w:val="008A71B8"/>
    <w:rsid w:val="008B7ADA"/>
    <w:rsid w:val="008B7F25"/>
    <w:rsid w:val="008C35A2"/>
    <w:rsid w:val="008C70B1"/>
    <w:rsid w:val="008D4803"/>
    <w:rsid w:val="008E041D"/>
    <w:rsid w:val="00901AC1"/>
    <w:rsid w:val="00904EF5"/>
    <w:rsid w:val="00904F6C"/>
    <w:rsid w:val="00907EF1"/>
    <w:rsid w:val="009113DD"/>
    <w:rsid w:val="009116F5"/>
    <w:rsid w:val="0092028B"/>
    <w:rsid w:val="00924724"/>
    <w:rsid w:val="009258C3"/>
    <w:rsid w:val="0093589C"/>
    <w:rsid w:val="0093685B"/>
    <w:rsid w:val="00940E5E"/>
    <w:rsid w:val="00941362"/>
    <w:rsid w:val="0094636B"/>
    <w:rsid w:val="0095610C"/>
    <w:rsid w:val="009578B6"/>
    <w:rsid w:val="0096043B"/>
    <w:rsid w:val="00960559"/>
    <w:rsid w:val="00965328"/>
    <w:rsid w:val="009666A8"/>
    <w:rsid w:val="00971609"/>
    <w:rsid w:val="0097286C"/>
    <w:rsid w:val="00972CFC"/>
    <w:rsid w:val="00975CBF"/>
    <w:rsid w:val="00983879"/>
    <w:rsid w:val="00984186"/>
    <w:rsid w:val="00993A29"/>
    <w:rsid w:val="009A468E"/>
    <w:rsid w:val="009A4C39"/>
    <w:rsid w:val="009A53EB"/>
    <w:rsid w:val="009A702F"/>
    <w:rsid w:val="009B1BC6"/>
    <w:rsid w:val="009C0D47"/>
    <w:rsid w:val="009C753E"/>
    <w:rsid w:val="009D01F3"/>
    <w:rsid w:val="009D14BD"/>
    <w:rsid w:val="009D24B7"/>
    <w:rsid w:val="009D34AC"/>
    <w:rsid w:val="009D5B96"/>
    <w:rsid w:val="009D692B"/>
    <w:rsid w:val="009D6E6F"/>
    <w:rsid w:val="009E7568"/>
    <w:rsid w:val="009F2720"/>
    <w:rsid w:val="009F6B30"/>
    <w:rsid w:val="00A00143"/>
    <w:rsid w:val="00A01785"/>
    <w:rsid w:val="00A04EC9"/>
    <w:rsid w:val="00A05C02"/>
    <w:rsid w:val="00A12D01"/>
    <w:rsid w:val="00A1382D"/>
    <w:rsid w:val="00A148BE"/>
    <w:rsid w:val="00A175D5"/>
    <w:rsid w:val="00A20F5A"/>
    <w:rsid w:val="00A21B81"/>
    <w:rsid w:val="00A24D45"/>
    <w:rsid w:val="00A35D15"/>
    <w:rsid w:val="00A4206C"/>
    <w:rsid w:val="00A42831"/>
    <w:rsid w:val="00A42D00"/>
    <w:rsid w:val="00A45C09"/>
    <w:rsid w:val="00A45D60"/>
    <w:rsid w:val="00A45F72"/>
    <w:rsid w:val="00A5236A"/>
    <w:rsid w:val="00A526F9"/>
    <w:rsid w:val="00A62C50"/>
    <w:rsid w:val="00A67B3C"/>
    <w:rsid w:val="00A76E7F"/>
    <w:rsid w:val="00A77CDD"/>
    <w:rsid w:val="00A87EFF"/>
    <w:rsid w:val="00A920DA"/>
    <w:rsid w:val="00A92109"/>
    <w:rsid w:val="00A96BD4"/>
    <w:rsid w:val="00A97D1F"/>
    <w:rsid w:val="00AA056D"/>
    <w:rsid w:val="00AA1580"/>
    <w:rsid w:val="00AA1628"/>
    <w:rsid w:val="00AA456D"/>
    <w:rsid w:val="00AA5F66"/>
    <w:rsid w:val="00AA7B59"/>
    <w:rsid w:val="00AB32C9"/>
    <w:rsid w:val="00AB3445"/>
    <w:rsid w:val="00AB5595"/>
    <w:rsid w:val="00AB71AC"/>
    <w:rsid w:val="00AB7BBB"/>
    <w:rsid w:val="00AC06C4"/>
    <w:rsid w:val="00AC3A14"/>
    <w:rsid w:val="00AD4948"/>
    <w:rsid w:val="00AE0EFD"/>
    <w:rsid w:val="00AE17BB"/>
    <w:rsid w:val="00AE24B8"/>
    <w:rsid w:val="00AE3D8D"/>
    <w:rsid w:val="00AE5090"/>
    <w:rsid w:val="00AE5592"/>
    <w:rsid w:val="00AE64CD"/>
    <w:rsid w:val="00AF4568"/>
    <w:rsid w:val="00AF7FAF"/>
    <w:rsid w:val="00B00A45"/>
    <w:rsid w:val="00B070B7"/>
    <w:rsid w:val="00B15F64"/>
    <w:rsid w:val="00B20F33"/>
    <w:rsid w:val="00B211DE"/>
    <w:rsid w:val="00B21330"/>
    <w:rsid w:val="00B23FF2"/>
    <w:rsid w:val="00B252E7"/>
    <w:rsid w:val="00B26287"/>
    <w:rsid w:val="00B30615"/>
    <w:rsid w:val="00B33267"/>
    <w:rsid w:val="00B36F2B"/>
    <w:rsid w:val="00B3793B"/>
    <w:rsid w:val="00B422A1"/>
    <w:rsid w:val="00B43BF3"/>
    <w:rsid w:val="00B45983"/>
    <w:rsid w:val="00B513D1"/>
    <w:rsid w:val="00B52220"/>
    <w:rsid w:val="00B55810"/>
    <w:rsid w:val="00B56E76"/>
    <w:rsid w:val="00B60A70"/>
    <w:rsid w:val="00B65384"/>
    <w:rsid w:val="00B6598F"/>
    <w:rsid w:val="00B82F9E"/>
    <w:rsid w:val="00B830B7"/>
    <w:rsid w:val="00B853DE"/>
    <w:rsid w:val="00B85854"/>
    <w:rsid w:val="00B90FF1"/>
    <w:rsid w:val="00B94372"/>
    <w:rsid w:val="00BA30A7"/>
    <w:rsid w:val="00BA58D3"/>
    <w:rsid w:val="00BA7A2E"/>
    <w:rsid w:val="00BB635F"/>
    <w:rsid w:val="00BB65DA"/>
    <w:rsid w:val="00BB758D"/>
    <w:rsid w:val="00BC53C5"/>
    <w:rsid w:val="00BD0582"/>
    <w:rsid w:val="00BD6A45"/>
    <w:rsid w:val="00BD7CDF"/>
    <w:rsid w:val="00BE46C5"/>
    <w:rsid w:val="00BE49DB"/>
    <w:rsid w:val="00BE6792"/>
    <w:rsid w:val="00BF4251"/>
    <w:rsid w:val="00BF480C"/>
    <w:rsid w:val="00BF7161"/>
    <w:rsid w:val="00C027E4"/>
    <w:rsid w:val="00C0776E"/>
    <w:rsid w:val="00C12402"/>
    <w:rsid w:val="00C13483"/>
    <w:rsid w:val="00C21B1D"/>
    <w:rsid w:val="00C22622"/>
    <w:rsid w:val="00C23D5D"/>
    <w:rsid w:val="00C24135"/>
    <w:rsid w:val="00C263F5"/>
    <w:rsid w:val="00C26598"/>
    <w:rsid w:val="00C327D3"/>
    <w:rsid w:val="00C34CDA"/>
    <w:rsid w:val="00C3626B"/>
    <w:rsid w:val="00C55541"/>
    <w:rsid w:val="00C6008F"/>
    <w:rsid w:val="00C74CA0"/>
    <w:rsid w:val="00C83891"/>
    <w:rsid w:val="00C8617A"/>
    <w:rsid w:val="00C86C93"/>
    <w:rsid w:val="00C87087"/>
    <w:rsid w:val="00C9015E"/>
    <w:rsid w:val="00C92E45"/>
    <w:rsid w:val="00C9595D"/>
    <w:rsid w:val="00C959E3"/>
    <w:rsid w:val="00C95D10"/>
    <w:rsid w:val="00CA23C1"/>
    <w:rsid w:val="00CA2B59"/>
    <w:rsid w:val="00CA6C73"/>
    <w:rsid w:val="00CA7534"/>
    <w:rsid w:val="00CB6496"/>
    <w:rsid w:val="00CC0433"/>
    <w:rsid w:val="00CD36BE"/>
    <w:rsid w:val="00CE630C"/>
    <w:rsid w:val="00CE793A"/>
    <w:rsid w:val="00CF458A"/>
    <w:rsid w:val="00D00908"/>
    <w:rsid w:val="00D07D2C"/>
    <w:rsid w:val="00D22897"/>
    <w:rsid w:val="00D24BC0"/>
    <w:rsid w:val="00D2571A"/>
    <w:rsid w:val="00D2764D"/>
    <w:rsid w:val="00D300D8"/>
    <w:rsid w:val="00D50381"/>
    <w:rsid w:val="00D54011"/>
    <w:rsid w:val="00D61779"/>
    <w:rsid w:val="00D618A6"/>
    <w:rsid w:val="00D628CD"/>
    <w:rsid w:val="00D7356B"/>
    <w:rsid w:val="00D75D43"/>
    <w:rsid w:val="00D801AF"/>
    <w:rsid w:val="00D86B38"/>
    <w:rsid w:val="00D878EB"/>
    <w:rsid w:val="00D970F4"/>
    <w:rsid w:val="00DA0CCE"/>
    <w:rsid w:val="00DA182E"/>
    <w:rsid w:val="00DA284D"/>
    <w:rsid w:val="00DA6618"/>
    <w:rsid w:val="00DB0A54"/>
    <w:rsid w:val="00DB78D2"/>
    <w:rsid w:val="00DC0A9B"/>
    <w:rsid w:val="00DC0EA5"/>
    <w:rsid w:val="00DC5F2C"/>
    <w:rsid w:val="00DD0F40"/>
    <w:rsid w:val="00DE0250"/>
    <w:rsid w:val="00DE174D"/>
    <w:rsid w:val="00DE2736"/>
    <w:rsid w:val="00DE59D4"/>
    <w:rsid w:val="00DF06F2"/>
    <w:rsid w:val="00DF639D"/>
    <w:rsid w:val="00E062C5"/>
    <w:rsid w:val="00E13FFB"/>
    <w:rsid w:val="00E17ACF"/>
    <w:rsid w:val="00E338E8"/>
    <w:rsid w:val="00E375B4"/>
    <w:rsid w:val="00E37764"/>
    <w:rsid w:val="00E37E44"/>
    <w:rsid w:val="00E4339F"/>
    <w:rsid w:val="00E433D4"/>
    <w:rsid w:val="00E450D4"/>
    <w:rsid w:val="00E45BDA"/>
    <w:rsid w:val="00E46834"/>
    <w:rsid w:val="00E46CEF"/>
    <w:rsid w:val="00E6096A"/>
    <w:rsid w:val="00E67CEF"/>
    <w:rsid w:val="00E72D70"/>
    <w:rsid w:val="00E770CE"/>
    <w:rsid w:val="00E81C0A"/>
    <w:rsid w:val="00EA7761"/>
    <w:rsid w:val="00EB019D"/>
    <w:rsid w:val="00EB6FA7"/>
    <w:rsid w:val="00EC1337"/>
    <w:rsid w:val="00EC2296"/>
    <w:rsid w:val="00EC2A04"/>
    <w:rsid w:val="00ED6C9B"/>
    <w:rsid w:val="00EE50CC"/>
    <w:rsid w:val="00F03792"/>
    <w:rsid w:val="00F04E5E"/>
    <w:rsid w:val="00F05DE2"/>
    <w:rsid w:val="00F11FB5"/>
    <w:rsid w:val="00F235FF"/>
    <w:rsid w:val="00F31398"/>
    <w:rsid w:val="00F40E12"/>
    <w:rsid w:val="00F424DA"/>
    <w:rsid w:val="00F434D2"/>
    <w:rsid w:val="00F44C9F"/>
    <w:rsid w:val="00F45E63"/>
    <w:rsid w:val="00F521A6"/>
    <w:rsid w:val="00F57EB4"/>
    <w:rsid w:val="00F630E9"/>
    <w:rsid w:val="00F83A99"/>
    <w:rsid w:val="00F85737"/>
    <w:rsid w:val="00F9020D"/>
    <w:rsid w:val="00F91E25"/>
    <w:rsid w:val="00F954E2"/>
    <w:rsid w:val="00F95E0E"/>
    <w:rsid w:val="00FA0663"/>
    <w:rsid w:val="00FA61EF"/>
    <w:rsid w:val="00FA7930"/>
    <w:rsid w:val="00FB315C"/>
    <w:rsid w:val="00FB65E6"/>
    <w:rsid w:val="00FC6608"/>
    <w:rsid w:val="00FD0591"/>
    <w:rsid w:val="00FD7F1D"/>
    <w:rsid w:val="00FE07CA"/>
    <w:rsid w:val="00FE27B8"/>
    <w:rsid w:val="00FE5946"/>
    <w:rsid w:val="00FE6598"/>
    <w:rsid w:val="00FF1B26"/>
    <w:rsid w:val="00FF3E7F"/>
    <w:rsid w:val="00FF5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393E"/>
  <w15:docId w15:val="{4E29C460-90E2-4803-9793-393EFE78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9D"/>
    <w:pPr>
      <w:overflowPunct w:val="0"/>
      <w:autoSpaceDE w:val="0"/>
      <w:autoSpaceDN w:val="0"/>
      <w:adjustRightInd w:val="0"/>
      <w:spacing w:after="0" w:line="240" w:lineRule="auto"/>
      <w:textAlignment w:val="baseline"/>
    </w:pPr>
    <w:rPr>
      <w:rFonts w:ascii="Footlight MT Light" w:eastAsia="Times New Roman" w:hAnsi="Footlight MT Light" w:cs="Times New Roman"/>
      <w:szCs w:val="20"/>
    </w:rPr>
  </w:style>
  <w:style w:type="paragraph" w:styleId="Heading1">
    <w:name w:val="heading 1"/>
    <w:basedOn w:val="Normal"/>
    <w:next w:val="Normal"/>
    <w:link w:val="Heading1Char"/>
    <w:qFormat/>
    <w:rsid w:val="005F75DD"/>
    <w:pPr>
      <w:keepNext/>
      <w:overflowPunct/>
      <w:autoSpaceDE/>
      <w:autoSpaceDN/>
      <w:adjustRightInd/>
      <w:jc w:val="both"/>
      <w:textAlignment w:val="auto"/>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C24135"/>
    <w:pPr>
      <w:keepNext/>
      <w:keepLines/>
      <w:overflowPunct/>
      <w:autoSpaceDE/>
      <w:autoSpaceDN/>
      <w:adjustRightInd/>
      <w:spacing w:before="40"/>
      <w:jc w:val="both"/>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6C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E3D8D"/>
    <w:pPr>
      <w:keepNext/>
      <w:keepLines/>
      <w:overflowPunct/>
      <w:autoSpaceDE/>
      <w:autoSpaceDN/>
      <w:adjustRightInd/>
      <w:spacing w:before="40"/>
      <w:textAlignment w:val="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1"/>
    <w:basedOn w:val="Normal"/>
    <w:link w:val="ListParagraphChar"/>
    <w:uiPriority w:val="34"/>
    <w:qFormat/>
    <w:rsid w:val="001D409D"/>
    <w:pPr>
      <w:overflowPunct/>
      <w:autoSpaceDE/>
      <w:autoSpaceDN/>
      <w:adjustRightInd/>
      <w:ind w:left="720"/>
      <w:contextualSpacing/>
      <w:textAlignment w:val="auto"/>
    </w:pPr>
    <w:rPr>
      <w:rFonts w:ascii="Times New Roman" w:hAnsi="Times New Roman"/>
      <w:sz w:val="24"/>
      <w:szCs w:val="24"/>
    </w:rPr>
  </w:style>
  <w:style w:type="paragraph" w:styleId="NoSpacing">
    <w:name w:val="No Spacing"/>
    <w:uiPriority w:val="1"/>
    <w:qFormat/>
    <w:rsid w:val="001D409D"/>
    <w:pPr>
      <w:spacing w:after="0" w:line="240" w:lineRule="auto"/>
    </w:pPr>
    <w:rPr>
      <w:rFonts w:ascii="Calibri" w:eastAsia="Calibri" w:hAnsi="Calibri" w:cs="Times New Roman"/>
      <w:lang w:val="en-PH"/>
    </w:rPr>
  </w:style>
  <w:style w:type="paragraph" w:styleId="BodyTextIndent">
    <w:name w:val="Body Text Indent"/>
    <w:basedOn w:val="Normal"/>
    <w:link w:val="BodyTextIndentChar"/>
    <w:rsid w:val="001D409D"/>
    <w:pPr>
      <w:ind w:left="270"/>
      <w:jc w:val="both"/>
    </w:pPr>
    <w:rPr>
      <w:rFonts w:ascii="Times New Roman" w:hAnsi="Times New Roman"/>
      <w:bCs/>
      <w:sz w:val="24"/>
    </w:rPr>
  </w:style>
  <w:style w:type="character" w:customStyle="1" w:styleId="BodyTextIndentChar">
    <w:name w:val="Body Text Indent Char"/>
    <w:basedOn w:val="DefaultParagraphFont"/>
    <w:link w:val="BodyTextIndent"/>
    <w:rsid w:val="001D409D"/>
    <w:rPr>
      <w:rFonts w:ascii="Times New Roman" w:eastAsia="Times New Roman" w:hAnsi="Times New Roman" w:cs="Times New Roman"/>
      <w:bCs/>
      <w:sz w:val="24"/>
      <w:szCs w:val="20"/>
    </w:rPr>
  </w:style>
  <w:style w:type="paragraph" w:styleId="Header">
    <w:name w:val="header"/>
    <w:basedOn w:val="Normal"/>
    <w:link w:val="HeaderChar"/>
    <w:uiPriority w:val="99"/>
    <w:unhideWhenUsed/>
    <w:rsid w:val="00041421"/>
    <w:pPr>
      <w:tabs>
        <w:tab w:val="center" w:pos="4680"/>
        <w:tab w:val="right" w:pos="9360"/>
      </w:tabs>
    </w:pPr>
  </w:style>
  <w:style w:type="character" w:customStyle="1" w:styleId="HeaderChar">
    <w:name w:val="Header Char"/>
    <w:basedOn w:val="DefaultParagraphFont"/>
    <w:link w:val="Header"/>
    <w:uiPriority w:val="99"/>
    <w:rsid w:val="00041421"/>
    <w:rPr>
      <w:rFonts w:ascii="Footlight MT Light" w:eastAsia="Times New Roman" w:hAnsi="Footlight MT Light" w:cs="Times New Roman"/>
      <w:szCs w:val="20"/>
    </w:rPr>
  </w:style>
  <w:style w:type="paragraph" w:styleId="Footer">
    <w:name w:val="footer"/>
    <w:basedOn w:val="Normal"/>
    <w:link w:val="FooterChar"/>
    <w:uiPriority w:val="99"/>
    <w:unhideWhenUsed/>
    <w:rsid w:val="00041421"/>
    <w:pPr>
      <w:tabs>
        <w:tab w:val="center" w:pos="4680"/>
        <w:tab w:val="right" w:pos="9360"/>
      </w:tabs>
    </w:pPr>
  </w:style>
  <w:style w:type="character" w:customStyle="1" w:styleId="FooterChar">
    <w:name w:val="Footer Char"/>
    <w:basedOn w:val="DefaultParagraphFont"/>
    <w:link w:val="Footer"/>
    <w:uiPriority w:val="99"/>
    <w:rsid w:val="00041421"/>
    <w:rPr>
      <w:rFonts w:ascii="Footlight MT Light" w:eastAsia="Times New Roman" w:hAnsi="Footlight MT Light" w:cs="Times New Roman"/>
      <w:szCs w:val="20"/>
    </w:rPr>
  </w:style>
  <w:style w:type="paragraph" w:styleId="BalloonText">
    <w:name w:val="Balloon Text"/>
    <w:basedOn w:val="Normal"/>
    <w:link w:val="BalloonTextChar"/>
    <w:uiPriority w:val="99"/>
    <w:semiHidden/>
    <w:unhideWhenUsed/>
    <w:rsid w:val="00606D0F"/>
    <w:rPr>
      <w:rFonts w:ascii="Tahoma" w:hAnsi="Tahoma" w:cs="Tahoma"/>
      <w:sz w:val="16"/>
      <w:szCs w:val="16"/>
    </w:rPr>
  </w:style>
  <w:style w:type="character" w:customStyle="1" w:styleId="BalloonTextChar">
    <w:name w:val="Balloon Text Char"/>
    <w:basedOn w:val="DefaultParagraphFont"/>
    <w:link w:val="BalloonText"/>
    <w:uiPriority w:val="99"/>
    <w:semiHidden/>
    <w:rsid w:val="00606D0F"/>
    <w:rPr>
      <w:rFonts w:ascii="Tahoma" w:eastAsia="Times New Roman" w:hAnsi="Tahoma" w:cs="Tahoma"/>
      <w:sz w:val="16"/>
      <w:szCs w:val="16"/>
    </w:rPr>
  </w:style>
  <w:style w:type="paragraph" w:styleId="Title">
    <w:name w:val="Title"/>
    <w:basedOn w:val="Normal"/>
    <w:link w:val="TitleChar"/>
    <w:qFormat/>
    <w:rsid w:val="00662448"/>
    <w:pPr>
      <w:overflowPunct/>
      <w:autoSpaceDE/>
      <w:autoSpaceDN/>
      <w:adjustRightInd/>
      <w:jc w:val="center"/>
      <w:textAlignment w:val="auto"/>
    </w:pPr>
    <w:rPr>
      <w:rFonts w:ascii="Times New Roman" w:hAnsi="Times New Roman"/>
      <w:b/>
      <w:bCs/>
      <w:sz w:val="28"/>
      <w:szCs w:val="24"/>
    </w:rPr>
  </w:style>
  <w:style w:type="character" w:customStyle="1" w:styleId="TitleChar">
    <w:name w:val="Title Char"/>
    <w:basedOn w:val="DefaultParagraphFont"/>
    <w:link w:val="Title"/>
    <w:rsid w:val="00662448"/>
    <w:rPr>
      <w:rFonts w:ascii="Times New Roman" w:eastAsia="Times New Roman" w:hAnsi="Times New Roman" w:cs="Times New Roman"/>
      <w:b/>
      <w:bCs/>
      <w:sz w:val="28"/>
      <w:szCs w:val="24"/>
    </w:rPr>
  </w:style>
  <w:style w:type="table" w:styleId="TableGrid">
    <w:name w:val="Table Grid"/>
    <w:basedOn w:val="TableNormal"/>
    <w:uiPriority w:val="39"/>
    <w:rsid w:val="00B56E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sume Title Char,List Paragraph1 Char"/>
    <w:link w:val="ListParagraph"/>
    <w:uiPriority w:val="34"/>
    <w:rsid w:val="00A01785"/>
    <w:rPr>
      <w:rFonts w:ascii="Times New Roman" w:eastAsia="Times New Roman" w:hAnsi="Times New Roman" w:cs="Times New Roman"/>
      <w:sz w:val="24"/>
      <w:szCs w:val="24"/>
    </w:rPr>
  </w:style>
  <w:style w:type="paragraph" w:styleId="BodyTextIndent3">
    <w:name w:val="Body Text Indent 3"/>
    <w:basedOn w:val="Normal"/>
    <w:link w:val="BodyTextIndent3Char"/>
    <w:rsid w:val="00A01785"/>
    <w:pPr>
      <w:overflowPunct/>
      <w:autoSpaceDE/>
      <w:autoSpaceDN/>
      <w:adjustRightInd/>
      <w:spacing w:after="120"/>
      <w:ind w:left="360"/>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A01785"/>
    <w:rPr>
      <w:rFonts w:ascii="Times New Roman" w:eastAsia="Times New Roman" w:hAnsi="Times New Roman" w:cs="Times New Roman"/>
      <w:sz w:val="16"/>
      <w:szCs w:val="16"/>
    </w:rPr>
  </w:style>
  <w:style w:type="paragraph" w:styleId="BodyText3">
    <w:name w:val="Body Text 3"/>
    <w:basedOn w:val="Normal"/>
    <w:link w:val="BodyText3Char"/>
    <w:rsid w:val="00A01785"/>
    <w:pPr>
      <w:overflowPunct/>
      <w:autoSpaceDE/>
      <w:autoSpaceDN/>
      <w:adjustRightInd/>
      <w:spacing w:after="120"/>
      <w:textAlignment w:val="auto"/>
    </w:pPr>
    <w:rPr>
      <w:rFonts w:ascii="Times New Roman" w:hAnsi="Times New Roman"/>
      <w:sz w:val="16"/>
      <w:szCs w:val="16"/>
    </w:rPr>
  </w:style>
  <w:style w:type="character" w:customStyle="1" w:styleId="BodyText3Char">
    <w:name w:val="Body Text 3 Char"/>
    <w:basedOn w:val="DefaultParagraphFont"/>
    <w:link w:val="BodyText3"/>
    <w:rsid w:val="00A01785"/>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A01785"/>
    <w:rPr>
      <w:sz w:val="16"/>
      <w:szCs w:val="16"/>
    </w:rPr>
  </w:style>
  <w:style w:type="paragraph" w:styleId="CommentText">
    <w:name w:val="annotation text"/>
    <w:basedOn w:val="Normal"/>
    <w:link w:val="CommentTextChar"/>
    <w:uiPriority w:val="99"/>
    <w:semiHidden/>
    <w:unhideWhenUsed/>
    <w:rsid w:val="00A01785"/>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uiPriority w:val="99"/>
    <w:semiHidden/>
    <w:rsid w:val="00A01785"/>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F75DD"/>
    <w:rPr>
      <w:rFonts w:ascii="Times New Roman" w:eastAsia="Times New Roman" w:hAnsi="Times New Roman" w:cs="Times New Roman"/>
      <w:b/>
      <w:bCs/>
      <w:sz w:val="24"/>
      <w:szCs w:val="24"/>
    </w:rPr>
  </w:style>
  <w:style w:type="paragraph" w:styleId="NormalWeb">
    <w:name w:val="Normal (Web)"/>
    <w:basedOn w:val="Normal"/>
    <w:uiPriority w:val="99"/>
    <w:rsid w:val="005F75DD"/>
    <w:pPr>
      <w:suppressAutoHyphens/>
      <w:overflowPunct/>
      <w:autoSpaceDE/>
      <w:adjustRightInd/>
      <w:spacing w:before="28" w:after="100"/>
    </w:pPr>
    <w:rPr>
      <w:rFonts w:ascii="Times New Roman" w:hAnsi="Times New Roman"/>
      <w:kern w:val="3"/>
      <w:sz w:val="24"/>
      <w:szCs w:val="24"/>
    </w:rPr>
  </w:style>
  <w:style w:type="character" w:customStyle="1" w:styleId="Heading2Char">
    <w:name w:val="Heading 2 Char"/>
    <w:basedOn w:val="DefaultParagraphFont"/>
    <w:link w:val="Heading2"/>
    <w:uiPriority w:val="9"/>
    <w:rsid w:val="00C2413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AE3D8D"/>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696C2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4C2A62"/>
    <w:pPr>
      <w:overflowPunct w:val="0"/>
      <w:autoSpaceDE w:val="0"/>
      <w:autoSpaceDN w:val="0"/>
      <w:adjustRightInd w:val="0"/>
      <w:textAlignment w:val="baseline"/>
    </w:pPr>
    <w:rPr>
      <w:rFonts w:ascii="Footlight MT Light" w:hAnsi="Footlight MT Light"/>
      <w:b/>
      <w:bCs/>
    </w:rPr>
  </w:style>
  <w:style w:type="character" w:customStyle="1" w:styleId="CommentSubjectChar">
    <w:name w:val="Comment Subject Char"/>
    <w:basedOn w:val="CommentTextChar"/>
    <w:link w:val="CommentSubject"/>
    <w:uiPriority w:val="99"/>
    <w:semiHidden/>
    <w:rsid w:val="004C2A62"/>
    <w:rPr>
      <w:rFonts w:ascii="Footlight MT Light" w:eastAsia="Times New Roman" w:hAnsi="Footlight MT Ligh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348">
      <w:bodyDiv w:val="1"/>
      <w:marLeft w:val="0"/>
      <w:marRight w:val="0"/>
      <w:marTop w:val="0"/>
      <w:marBottom w:val="0"/>
      <w:divBdr>
        <w:top w:val="none" w:sz="0" w:space="0" w:color="auto"/>
        <w:left w:val="none" w:sz="0" w:space="0" w:color="auto"/>
        <w:bottom w:val="none" w:sz="0" w:space="0" w:color="auto"/>
        <w:right w:val="none" w:sz="0" w:space="0" w:color="auto"/>
      </w:divBdr>
    </w:div>
    <w:div w:id="190336636">
      <w:bodyDiv w:val="1"/>
      <w:marLeft w:val="0"/>
      <w:marRight w:val="0"/>
      <w:marTop w:val="0"/>
      <w:marBottom w:val="0"/>
      <w:divBdr>
        <w:top w:val="none" w:sz="0" w:space="0" w:color="auto"/>
        <w:left w:val="none" w:sz="0" w:space="0" w:color="auto"/>
        <w:bottom w:val="none" w:sz="0" w:space="0" w:color="auto"/>
        <w:right w:val="none" w:sz="0" w:space="0" w:color="auto"/>
      </w:divBdr>
    </w:div>
    <w:div w:id="618529849">
      <w:bodyDiv w:val="1"/>
      <w:marLeft w:val="0"/>
      <w:marRight w:val="0"/>
      <w:marTop w:val="0"/>
      <w:marBottom w:val="0"/>
      <w:divBdr>
        <w:top w:val="none" w:sz="0" w:space="0" w:color="auto"/>
        <w:left w:val="none" w:sz="0" w:space="0" w:color="auto"/>
        <w:bottom w:val="none" w:sz="0" w:space="0" w:color="auto"/>
        <w:right w:val="none" w:sz="0" w:space="0" w:color="auto"/>
      </w:divBdr>
    </w:div>
    <w:div w:id="692220679">
      <w:bodyDiv w:val="1"/>
      <w:marLeft w:val="0"/>
      <w:marRight w:val="0"/>
      <w:marTop w:val="0"/>
      <w:marBottom w:val="0"/>
      <w:divBdr>
        <w:top w:val="none" w:sz="0" w:space="0" w:color="auto"/>
        <w:left w:val="none" w:sz="0" w:space="0" w:color="auto"/>
        <w:bottom w:val="none" w:sz="0" w:space="0" w:color="auto"/>
        <w:right w:val="none" w:sz="0" w:space="0" w:color="auto"/>
      </w:divBdr>
    </w:div>
    <w:div w:id="742411664">
      <w:bodyDiv w:val="1"/>
      <w:marLeft w:val="0"/>
      <w:marRight w:val="0"/>
      <w:marTop w:val="0"/>
      <w:marBottom w:val="0"/>
      <w:divBdr>
        <w:top w:val="none" w:sz="0" w:space="0" w:color="auto"/>
        <w:left w:val="none" w:sz="0" w:space="0" w:color="auto"/>
        <w:bottom w:val="none" w:sz="0" w:space="0" w:color="auto"/>
        <w:right w:val="none" w:sz="0" w:space="0" w:color="auto"/>
      </w:divBdr>
    </w:div>
    <w:div w:id="1161195045">
      <w:bodyDiv w:val="1"/>
      <w:marLeft w:val="0"/>
      <w:marRight w:val="0"/>
      <w:marTop w:val="0"/>
      <w:marBottom w:val="0"/>
      <w:divBdr>
        <w:top w:val="none" w:sz="0" w:space="0" w:color="auto"/>
        <w:left w:val="none" w:sz="0" w:space="0" w:color="auto"/>
        <w:bottom w:val="none" w:sz="0" w:space="0" w:color="auto"/>
        <w:right w:val="none" w:sz="0" w:space="0" w:color="auto"/>
      </w:divBdr>
    </w:div>
    <w:div w:id="1183322622">
      <w:bodyDiv w:val="1"/>
      <w:marLeft w:val="0"/>
      <w:marRight w:val="0"/>
      <w:marTop w:val="0"/>
      <w:marBottom w:val="0"/>
      <w:divBdr>
        <w:top w:val="none" w:sz="0" w:space="0" w:color="auto"/>
        <w:left w:val="none" w:sz="0" w:space="0" w:color="auto"/>
        <w:bottom w:val="none" w:sz="0" w:space="0" w:color="auto"/>
        <w:right w:val="none" w:sz="0" w:space="0" w:color="auto"/>
      </w:divBdr>
    </w:div>
    <w:div w:id="1399133739">
      <w:bodyDiv w:val="1"/>
      <w:marLeft w:val="0"/>
      <w:marRight w:val="0"/>
      <w:marTop w:val="0"/>
      <w:marBottom w:val="0"/>
      <w:divBdr>
        <w:top w:val="none" w:sz="0" w:space="0" w:color="auto"/>
        <w:left w:val="none" w:sz="0" w:space="0" w:color="auto"/>
        <w:bottom w:val="none" w:sz="0" w:space="0" w:color="auto"/>
        <w:right w:val="none" w:sz="0" w:space="0" w:color="auto"/>
      </w:divBdr>
    </w:div>
    <w:div w:id="1697076135">
      <w:bodyDiv w:val="1"/>
      <w:marLeft w:val="0"/>
      <w:marRight w:val="0"/>
      <w:marTop w:val="0"/>
      <w:marBottom w:val="0"/>
      <w:divBdr>
        <w:top w:val="none" w:sz="0" w:space="0" w:color="auto"/>
        <w:left w:val="none" w:sz="0" w:space="0" w:color="auto"/>
        <w:bottom w:val="none" w:sz="0" w:space="0" w:color="auto"/>
        <w:right w:val="none" w:sz="0" w:space="0" w:color="auto"/>
      </w:divBdr>
    </w:div>
    <w:div w:id="2015953584">
      <w:bodyDiv w:val="1"/>
      <w:marLeft w:val="0"/>
      <w:marRight w:val="0"/>
      <w:marTop w:val="0"/>
      <w:marBottom w:val="0"/>
      <w:divBdr>
        <w:top w:val="none" w:sz="0" w:space="0" w:color="auto"/>
        <w:left w:val="none" w:sz="0" w:space="0" w:color="auto"/>
        <w:bottom w:val="none" w:sz="0" w:space="0" w:color="auto"/>
        <w:right w:val="none" w:sz="0" w:space="0" w:color="auto"/>
      </w:divBdr>
    </w:div>
    <w:div w:id="2017270617">
      <w:bodyDiv w:val="1"/>
      <w:marLeft w:val="0"/>
      <w:marRight w:val="0"/>
      <w:marTop w:val="0"/>
      <w:marBottom w:val="0"/>
      <w:divBdr>
        <w:top w:val="none" w:sz="0" w:space="0" w:color="auto"/>
        <w:left w:val="none" w:sz="0" w:space="0" w:color="auto"/>
        <w:bottom w:val="none" w:sz="0" w:space="0" w:color="auto"/>
        <w:right w:val="none" w:sz="0" w:space="0" w:color="auto"/>
      </w:divBdr>
    </w:div>
    <w:div w:id="2050912874">
      <w:bodyDiv w:val="1"/>
      <w:marLeft w:val="0"/>
      <w:marRight w:val="0"/>
      <w:marTop w:val="0"/>
      <w:marBottom w:val="0"/>
      <w:divBdr>
        <w:top w:val="none" w:sz="0" w:space="0" w:color="auto"/>
        <w:left w:val="none" w:sz="0" w:space="0" w:color="auto"/>
        <w:bottom w:val="none" w:sz="0" w:space="0" w:color="auto"/>
        <w:right w:val="none" w:sz="0" w:space="0" w:color="auto"/>
      </w:divBdr>
    </w:div>
    <w:div w:id="2061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AEB9-E819-4B92-B5B5-FEF1784B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Executive Summary</vt:lpstr>
    </vt:vector>
  </TitlesOfParts>
  <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COA - Bulacan Agricultural State College, Region 3</dc:creator>
  <cp:lastModifiedBy>COA</cp:lastModifiedBy>
  <cp:revision>2</cp:revision>
  <cp:lastPrinted>2021-05-19T06:10:00Z</cp:lastPrinted>
  <dcterms:created xsi:type="dcterms:W3CDTF">2021-06-10T05:39:00Z</dcterms:created>
  <dcterms:modified xsi:type="dcterms:W3CDTF">2021-06-29T02:19:00Z</dcterms:modified>
</cp:coreProperties>
</file>